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DE" w:rsidRDefault="00CF0FDE" w:rsidP="00CF0FDE">
      <w:pPr>
        <w:jc w:val="center"/>
        <w:rPr>
          <w:rFonts w:eastAsia="Times New Roman" w:cs="Times New Roman"/>
          <w:color w:val="A82E2E"/>
          <w:sz w:val="32"/>
          <w:szCs w:val="32"/>
          <w:shd w:val="clear" w:color="auto" w:fill="FFFFFF"/>
          <w:lang w:eastAsia="en-GB"/>
        </w:rPr>
      </w:pPr>
      <w:r w:rsidRPr="00CF0FDE">
        <w:rPr>
          <w:rFonts w:eastAsia="Times New Roman" w:cs="Times New Roman"/>
          <w:color w:val="A82E2E"/>
          <w:sz w:val="32"/>
          <w:szCs w:val="32"/>
          <w:shd w:val="clear" w:color="auto" w:fill="FFFFFF"/>
          <w:lang w:eastAsia="en-GB"/>
        </w:rPr>
        <w:t>FAILURE TO CONSULT</w:t>
      </w:r>
      <w:r w:rsidRPr="00CF0FDE">
        <w:rPr>
          <w:rFonts w:eastAsia="Times New Roman" w:cs="Times New Roman"/>
          <w:color w:val="A82E2E"/>
          <w:sz w:val="32"/>
          <w:szCs w:val="32"/>
          <w:shd w:val="clear" w:color="auto" w:fill="FFFFFF"/>
          <w:lang w:eastAsia="en-GB"/>
        </w:rPr>
        <w:br/>
        <w:t>CCG loses judicial review for failure to consult Overview and Scrutiny</w:t>
      </w:r>
    </w:p>
    <w:p w:rsidR="00CF0FDE" w:rsidRDefault="00CF0FDE" w:rsidP="00CF0FDE">
      <w:pPr>
        <w:rPr>
          <w:rFonts w:eastAsia="Times New Roman" w:cs="Times New Roman"/>
          <w:color w:val="000000"/>
          <w:shd w:val="clear" w:color="auto" w:fill="FFFFFF"/>
          <w:lang w:eastAsia="en-GB"/>
        </w:rPr>
      </w:pPr>
      <w:r>
        <w:rPr>
          <w:rFonts w:eastAsia="Times New Roman" w:cs="Times New Roman"/>
          <w:color w:val="3F3F3F"/>
          <w:sz w:val="32"/>
          <w:szCs w:val="32"/>
          <w:shd w:val="clear" w:color="auto" w:fill="FFFFFF"/>
          <w:lang w:eastAsia="en-GB"/>
        </w:rPr>
        <w:t>______________________________________________________</w:t>
      </w:r>
      <w:r w:rsidRPr="00CF0FDE">
        <w:rPr>
          <w:rFonts w:eastAsia="Times New Roman" w:cs="Times New Roman"/>
          <w:color w:val="3F3F3F"/>
          <w:sz w:val="32"/>
          <w:szCs w:val="32"/>
          <w:shd w:val="clear" w:color="auto" w:fill="FFFFFF"/>
          <w:lang w:eastAsia="en-GB"/>
        </w:rPr>
        <w:br/>
      </w:r>
      <w:r w:rsidRPr="00CF0FDE">
        <w:rPr>
          <w:rFonts w:eastAsia="Times New Roman" w:cs="Times New Roman"/>
          <w:color w:val="3F3F3F"/>
          <w:shd w:val="clear" w:color="auto" w:fill="FFFFFF"/>
          <w:lang w:eastAsia="en-GB"/>
        </w:rPr>
        <w:br/>
      </w:r>
    </w:p>
    <w:p w:rsidR="00CF0FDE" w:rsidRDefault="00CF0FDE" w:rsidP="00CF0FDE">
      <w:pPr>
        <w:rPr>
          <w:rFonts w:eastAsia="Times New Roman" w:cs="Times New Roman"/>
          <w:color w:val="000000"/>
          <w:shd w:val="clear" w:color="auto" w:fill="FFFFFF"/>
          <w:lang w:eastAsia="en-GB"/>
        </w:rPr>
      </w:pPr>
      <w:bookmarkStart w:id="0" w:name="_GoBack"/>
      <w:bookmarkEnd w:id="0"/>
    </w:p>
    <w:p w:rsidR="00CF0FDE" w:rsidRDefault="00CF0FDE" w:rsidP="00CF0FDE">
      <w:pPr>
        <w:rPr>
          <w:rFonts w:eastAsia="Times New Roman" w:cs="Times New Roman"/>
          <w:color w:val="000000"/>
          <w:shd w:val="clear" w:color="auto" w:fill="FFFFFF"/>
          <w:lang w:eastAsia="en-GB"/>
        </w:rPr>
      </w:pPr>
      <w:r w:rsidRPr="00CF0FDE">
        <w:rPr>
          <w:rFonts w:eastAsia="Times New Roman" w:cs="Times New Roman"/>
          <w:color w:val="000000"/>
          <w:shd w:val="clear" w:color="auto" w:fill="FFFFFF"/>
          <w:lang w:eastAsia="en-GB"/>
        </w:rPr>
        <w:t>A High Court judgment* this week against the NHS in Hertfordshire is a timely reminder to all CCGs in England that a failure to consult Overview &amp; Scrutiny Committees have serious consequences.</w:t>
      </w:r>
    </w:p>
    <w:p w:rsidR="00CF0FDE" w:rsidRDefault="00CF0FDE" w:rsidP="00CF0FDE">
      <w:pPr>
        <w:rPr>
          <w:rFonts w:eastAsia="Times New Roman" w:cs="Times New Roman"/>
          <w:color w:val="3F3F3F"/>
          <w:shd w:val="clear" w:color="auto" w:fill="FFFFFF"/>
          <w:lang w:eastAsia="en-GB"/>
        </w:rPr>
      </w:pP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The full story is described in a </w:t>
      </w:r>
      <w:r w:rsidRPr="00CF0FDE">
        <w:rPr>
          <w:rFonts w:eastAsia="Times New Roman" w:cs="Times New Roman"/>
          <w:color w:val="2980B9"/>
          <w:lang w:eastAsia="en-GB"/>
        </w:rPr>
        <w:t>press release</w:t>
      </w:r>
      <w:r w:rsidRPr="00CF0FDE">
        <w:rPr>
          <w:rFonts w:eastAsia="Times New Roman" w:cs="Times New Roman"/>
          <w:color w:val="3F3F3F"/>
          <w:shd w:val="clear" w:color="auto" w:fill="FFFFFF"/>
          <w:lang w:eastAsia="en-GB"/>
        </w:rPr>
        <w:t> from the Claimants’ lawyers and concerns the withdrawal of funding for a respite centre for disabled children in Watford, called </w:t>
      </w:r>
      <w:proofErr w:type="spellStart"/>
      <w:r w:rsidRPr="00CF0FDE">
        <w:rPr>
          <w:rFonts w:eastAsia="Times New Roman" w:cs="Times New Roman"/>
          <w:b/>
          <w:bCs/>
          <w:i/>
          <w:iCs/>
          <w:color w:val="3F3F3F"/>
          <w:shd w:val="clear" w:color="auto" w:fill="FFFFFF"/>
          <w:lang w:eastAsia="en-GB"/>
        </w:rPr>
        <w:t>Nascot</w:t>
      </w:r>
      <w:proofErr w:type="spellEnd"/>
      <w:r w:rsidRPr="00CF0FDE">
        <w:rPr>
          <w:rFonts w:eastAsia="Times New Roman" w:cs="Times New Roman"/>
          <w:b/>
          <w:bCs/>
          <w:i/>
          <w:iCs/>
          <w:color w:val="3F3F3F"/>
          <w:shd w:val="clear" w:color="auto" w:fill="FFFFFF"/>
          <w:lang w:eastAsia="en-GB"/>
        </w:rPr>
        <w:t xml:space="preserve"> Lawn</w:t>
      </w:r>
      <w:r w:rsidRPr="00CF0FDE">
        <w:rPr>
          <w:rFonts w:eastAsia="Times New Roman" w:cs="Times New Roman"/>
          <w:color w:val="3F3F3F"/>
          <w:shd w:val="clear" w:color="auto" w:fill="FFFFFF"/>
          <w:lang w:eastAsia="en-GB"/>
        </w:rPr>
        <w:t>. The case is probably the first time that part of the NHS has tried to justify by-passing a local authority and sought to defend a failure to observe the 2013 Regulations on Health Scrutiny.</w:t>
      </w:r>
    </w:p>
    <w:p w:rsidR="00CF0FDE" w:rsidRDefault="00CF0FDE" w:rsidP="00CF0FDE">
      <w:pPr>
        <w:rPr>
          <w:rFonts w:eastAsia="Times New Roman" w:cs="Times New Roman"/>
          <w:color w:val="3F3F3F"/>
          <w:shd w:val="clear" w:color="auto" w:fill="FFFFFF"/>
          <w:lang w:eastAsia="en-GB"/>
        </w:rPr>
      </w:pP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The rules are well-established and state that when the NHS is considering a substantial development or </w:t>
      </w:r>
      <w:r w:rsidRPr="00CF0FDE">
        <w:rPr>
          <w:rFonts w:eastAsia="Times New Roman" w:cs="Times New Roman"/>
          <w:i/>
          <w:iCs/>
          <w:color w:val="3F3F3F"/>
          <w:shd w:val="clear" w:color="auto" w:fill="FFFFFF"/>
          <w:lang w:eastAsia="en-GB"/>
        </w:rPr>
        <w:t>‘substantial variation’</w:t>
      </w:r>
      <w:r w:rsidRPr="00CF0FDE">
        <w:rPr>
          <w:rFonts w:eastAsia="Times New Roman" w:cs="Times New Roman"/>
          <w:color w:val="3F3F3F"/>
          <w:shd w:val="clear" w:color="auto" w:fill="FFFFFF"/>
          <w:lang w:eastAsia="en-GB"/>
        </w:rPr>
        <w:t> to a service, it must formally notify the Council and </w:t>
      </w:r>
      <w:r w:rsidRPr="00CF0FDE">
        <w:rPr>
          <w:rFonts w:eastAsia="Times New Roman" w:cs="Times New Roman"/>
          <w:i/>
          <w:iCs/>
          <w:color w:val="3F3F3F"/>
          <w:shd w:val="clear" w:color="auto" w:fill="FFFFFF"/>
          <w:lang w:eastAsia="en-GB"/>
        </w:rPr>
        <w:t>‘take such steps as are reasonably practicable’</w:t>
      </w:r>
      <w:r w:rsidRPr="00CF0FDE">
        <w:rPr>
          <w:rFonts w:eastAsia="Times New Roman" w:cs="Times New Roman"/>
          <w:color w:val="3F3F3F"/>
          <w:shd w:val="clear" w:color="auto" w:fill="FFFFFF"/>
          <w:lang w:eastAsia="en-GB"/>
        </w:rPr>
        <w:t> to reach agreement. If they fail, the Council can refer the matter to the Secretary of State on one of three grounds: – a failure to consult, inadequate consultation or a ‘catch-all’ formula that the proposals </w:t>
      </w:r>
      <w:r w:rsidRPr="00CF0FDE">
        <w:rPr>
          <w:rFonts w:eastAsia="Times New Roman" w:cs="Times New Roman"/>
          <w:i/>
          <w:iCs/>
          <w:color w:val="3F3F3F"/>
          <w:shd w:val="clear" w:color="auto" w:fill="FFFFFF"/>
          <w:lang w:eastAsia="en-GB"/>
        </w:rPr>
        <w:t>‘would not be in the interests of the health service in the area’</w:t>
      </w:r>
      <w:r w:rsidRPr="00CF0FDE">
        <w:rPr>
          <w:rFonts w:eastAsia="Times New Roman" w:cs="Times New Roman"/>
          <w:color w:val="3F3F3F"/>
          <w:shd w:val="clear" w:color="auto" w:fill="FFFFFF"/>
          <w:lang w:eastAsia="en-GB"/>
        </w:rPr>
        <w:t>.</w:t>
      </w:r>
    </w:p>
    <w:p w:rsidR="00CF0FDE" w:rsidRDefault="00CF0FDE" w:rsidP="00CF0FDE">
      <w:pPr>
        <w:rPr>
          <w:rFonts w:eastAsia="Times New Roman" w:cs="Times New Roman"/>
          <w:color w:val="3F3F3F"/>
          <w:shd w:val="clear" w:color="auto" w:fill="FFFFFF"/>
          <w:lang w:eastAsia="en-GB"/>
        </w:rPr>
      </w:pP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In this particular case, lawyers argued that the cuts to this service were unlawful for several other reasons.</w:t>
      </w:r>
    </w:p>
    <w:p w:rsidR="00CF0FDE" w:rsidRDefault="00CF0FDE" w:rsidP="00CF0FDE">
      <w:pPr>
        <w:rPr>
          <w:rFonts w:eastAsia="Times New Roman" w:cs="Times New Roman"/>
          <w:color w:val="3F3F3F"/>
          <w:shd w:val="clear" w:color="auto" w:fill="FFFFFF"/>
          <w:lang w:eastAsia="en-GB"/>
        </w:rPr>
      </w:pP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 xml:space="preserve">It alleged a failure to consult and a breach of the </w:t>
      </w:r>
      <w:proofErr w:type="gramStart"/>
      <w:r w:rsidRPr="00CF0FDE">
        <w:rPr>
          <w:rFonts w:eastAsia="Times New Roman" w:cs="Times New Roman"/>
          <w:color w:val="3F3F3F"/>
          <w:shd w:val="clear" w:color="auto" w:fill="FFFFFF"/>
          <w:lang w:eastAsia="en-GB"/>
        </w:rPr>
        <w:t>Public Sector</w:t>
      </w:r>
      <w:proofErr w:type="gramEnd"/>
      <w:r w:rsidRPr="00CF0FDE">
        <w:rPr>
          <w:rFonts w:eastAsia="Times New Roman" w:cs="Times New Roman"/>
          <w:color w:val="3F3F3F"/>
          <w:shd w:val="clear" w:color="auto" w:fill="FFFFFF"/>
          <w:lang w:eastAsia="en-GB"/>
        </w:rPr>
        <w:t xml:space="preserve"> Equality duty, and on both counts, the Judge found in favour of the CCG. This will give NHS Managers a degree of comfort, but a note of caution is in order. In suggesting that the CCG had sufficiently </w:t>
      </w:r>
      <w:r w:rsidRPr="00CF0FDE">
        <w:rPr>
          <w:rFonts w:eastAsia="Times New Roman" w:cs="Times New Roman"/>
          <w:i/>
          <w:iCs/>
          <w:color w:val="3F3F3F"/>
          <w:shd w:val="clear" w:color="auto" w:fill="FFFFFF"/>
          <w:lang w:eastAsia="en-GB"/>
        </w:rPr>
        <w:t>‘engaged’</w:t>
      </w:r>
      <w:r w:rsidRPr="00CF0FDE">
        <w:rPr>
          <w:rFonts w:eastAsia="Times New Roman" w:cs="Times New Roman"/>
          <w:color w:val="3F3F3F"/>
          <w:shd w:val="clear" w:color="auto" w:fill="FFFFFF"/>
          <w:lang w:eastAsia="en-GB"/>
        </w:rPr>
        <w:t xml:space="preserve"> on the subject, the Court did not use the test of S.14Z2(2) which is the duty to involve (whether by being consulted or provided with information </w:t>
      </w:r>
      <w:proofErr w:type="spellStart"/>
      <w:r w:rsidRPr="00CF0FDE">
        <w:rPr>
          <w:rFonts w:eastAsia="Times New Roman" w:cs="Times New Roman"/>
          <w:color w:val="3F3F3F"/>
          <w:shd w:val="clear" w:color="auto" w:fill="FFFFFF"/>
          <w:lang w:eastAsia="en-GB"/>
        </w:rPr>
        <w:t>etc</w:t>
      </w:r>
      <w:proofErr w:type="spellEnd"/>
      <w:r w:rsidRPr="00CF0FDE">
        <w:rPr>
          <w:rFonts w:eastAsia="Times New Roman" w:cs="Times New Roman"/>
          <w:color w:val="3F3F3F"/>
          <w:shd w:val="clear" w:color="auto" w:fill="FFFFFF"/>
          <w:lang w:eastAsia="en-GB"/>
        </w:rPr>
        <w:t>) but merely found that there had been </w:t>
      </w:r>
      <w:r w:rsidRPr="00CF0FDE">
        <w:rPr>
          <w:rFonts w:eastAsia="Times New Roman" w:cs="Times New Roman"/>
          <w:i/>
          <w:iCs/>
          <w:color w:val="3F3F3F"/>
          <w:shd w:val="clear" w:color="auto" w:fill="FFFFFF"/>
          <w:lang w:eastAsia="en-GB"/>
        </w:rPr>
        <w:t>‘public engagement’</w:t>
      </w:r>
      <w:r w:rsidRPr="00CF0FDE">
        <w:rPr>
          <w:rFonts w:eastAsia="Times New Roman" w:cs="Times New Roman"/>
          <w:color w:val="3F3F3F"/>
          <w:shd w:val="clear" w:color="auto" w:fill="FFFFFF"/>
          <w:lang w:eastAsia="en-GB"/>
        </w:rPr>
        <w:t> as would satisfy the terms of a consent order agreed by the defendant when a Court previously quashed the decision to withdraw funding.</w:t>
      </w:r>
    </w:p>
    <w:p w:rsidR="00CF0FDE" w:rsidRDefault="00CF0FDE" w:rsidP="00CF0FDE">
      <w:pPr>
        <w:rPr>
          <w:rFonts w:eastAsia="Times New Roman" w:cs="Times New Roman"/>
          <w:color w:val="3F3F3F"/>
          <w:shd w:val="clear" w:color="auto" w:fill="FFFFFF"/>
          <w:lang w:eastAsia="en-GB"/>
        </w:rPr>
      </w:pP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Had the CCG acted lawfully and consulted the Council, who knows what consultation it would have requested?</w:t>
      </w:r>
    </w:p>
    <w:p w:rsidR="00CF0FDE" w:rsidRDefault="00CF0FDE" w:rsidP="00CF0FDE">
      <w:pPr>
        <w:rPr>
          <w:rFonts w:eastAsia="Times New Roman" w:cs="Times New Roman"/>
          <w:color w:val="3F3F3F"/>
          <w:shd w:val="clear" w:color="auto" w:fill="FFFFFF"/>
          <w:lang w:eastAsia="en-GB"/>
        </w:rPr>
      </w:pP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Having found that the CCG were in the wrong in not consulting the Council, the Judge could – and maybe should have dismissed all the other claims without being considered. It may be helpful to see his conclusions, but without knowing what consultation would have been requested, it is impossible to be sure that the engagement undertaken on this occasion would have been sufficient.</w:t>
      </w:r>
    </w:p>
    <w:p w:rsidR="00CF0FDE" w:rsidRDefault="00CF0FDE" w:rsidP="00CF0FDE">
      <w:pPr>
        <w:rPr>
          <w:rFonts w:eastAsia="Times New Roman" w:cs="Times New Roman"/>
          <w:color w:val="3F3F3F"/>
          <w:lang w:eastAsia="en-GB"/>
        </w:rPr>
      </w:pPr>
    </w:p>
    <w:p w:rsidR="00CF0FDE" w:rsidRDefault="00CF0FDE" w:rsidP="00CF0FDE">
      <w:pPr>
        <w:rPr>
          <w:rFonts w:eastAsia="Times New Roman" w:cs="Times New Roman"/>
          <w:color w:val="3F3F3F"/>
          <w:lang w:eastAsia="en-GB"/>
        </w:rPr>
      </w:pPr>
    </w:p>
    <w:p w:rsidR="00CF0FDE" w:rsidRDefault="00CF0FDE" w:rsidP="00CF0FDE">
      <w:pPr>
        <w:rPr>
          <w:rFonts w:eastAsia="Times New Roman" w:cs="Times New Roman"/>
          <w:color w:val="3F3F3F"/>
          <w:lang w:eastAsia="en-GB"/>
        </w:rPr>
      </w:pPr>
    </w:p>
    <w:p w:rsidR="00CF0FDE" w:rsidRDefault="00CF0FDE" w:rsidP="00CF0FDE">
      <w:pPr>
        <w:rPr>
          <w:rFonts w:eastAsia="Times New Roman" w:cs="Times New Roman"/>
          <w:color w:val="3F3F3F"/>
          <w:lang w:eastAsia="en-GB"/>
        </w:rPr>
      </w:pPr>
    </w:p>
    <w:p w:rsidR="00CF0FDE" w:rsidRDefault="00CF0FDE" w:rsidP="00CF0FDE">
      <w:pPr>
        <w:rPr>
          <w:rFonts w:eastAsia="Times New Roman" w:cs="Times New Roman"/>
          <w:color w:val="3F3F3F"/>
          <w:lang w:eastAsia="en-GB"/>
        </w:rPr>
      </w:pPr>
    </w:p>
    <w:p w:rsidR="00CF0FDE" w:rsidRDefault="00CF0FDE" w:rsidP="00CF0FDE">
      <w:pPr>
        <w:rPr>
          <w:rFonts w:eastAsia="Times New Roman" w:cs="Times New Roman"/>
          <w:color w:val="3F3F3F"/>
          <w:lang w:eastAsia="en-GB"/>
        </w:rPr>
      </w:pPr>
    </w:p>
    <w:p w:rsidR="00CF0FDE" w:rsidRDefault="00CF0FDE" w:rsidP="00CF0FDE">
      <w:pPr>
        <w:rPr>
          <w:rFonts w:eastAsia="Times New Roman" w:cs="Times New Roman"/>
          <w:color w:val="3F3F3F"/>
          <w:lang w:eastAsia="en-GB"/>
        </w:rPr>
      </w:pPr>
    </w:p>
    <w:p w:rsidR="00CF0FDE" w:rsidRPr="00CF0FDE" w:rsidRDefault="00CF0FDE" w:rsidP="00CF0FDE">
      <w:pPr>
        <w:rPr>
          <w:rFonts w:eastAsia="Times New Roman" w:cs="Times New Roman"/>
          <w:lang w:eastAsia="en-GB"/>
        </w:rPr>
      </w:pP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To many readers, this all sounds like legal nit-picking. But the situation is: –</w:t>
      </w:r>
    </w:p>
    <w:p w:rsidR="00CF0FDE" w:rsidRPr="00CF0FDE" w:rsidRDefault="00CF0FDE" w:rsidP="00CF0FDE">
      <w:pPr>
        <w:numPr>
          <w:ilvl w:val="0"/>
          <w:numId w:val="1"/>
        </w:numPr>
        <w:shd w:val="clear" w:color="auto" w:fill="FFFFFF"/>
        <w:spacing w:before="100" w:beforeAutospacing="1" w:after="150"/>
        <w:rPr>
          <w:rFonts w:eastAsia="Times New Roman" w:cs="Times New Roman"/>
          <w:color w:val="000000"/>
          <w:lang w:eastAsia="en-GB"/>
        </w:rPr>
      </w:pPr>
      <w:r w:rsidRPr="00CF0FDE">
        <w:rPr>
          <w:rFonts w:eastAsia="Times New Roman" w:cs="Times New Roman"/>
          <w:color w:val="000000"/>
          <w:lang w:eastAsia="en-GB"/>
        </w:rPr>
        <w:t>Here is a case where the CCG has clearly had poor advice, and where the need to have a dialogue with the Scrutiny function of the Council seems cut and dried.</w:t>
      </w:r>
    </w:p>
    <w:p w:rsidR="00CF0FDE" w:rsidRPr="00CF0FDE" w:rsidRDefault="00CF0FDE" w:rsidP="00CF0FDE">
      <w:pPr>
        <w:numPr>
          <w:ilvl w:val="0"/>
          <w:numId w:val="1"/>
        </w:numPr>
        <w:shd w:val="clear" w:color="auto" w:fill="FFFFFF"/>
        <w:spacing w:before="100" w:beforeAutospacing="1" w:after="150"/>
        <w:rPr>
          <w:rFonts w:eastAsia="Times New Roman" w:cs="Times New Roman"/>
          <w:color w:val="000000"/>
          <w:lang w:eastAsia="en-GB"/>
        </w:rPr>
      </w:pPr>
      <w:r w:rsidRPr="00CF0FDE">
        <w:rPr>
          <w:rFonts w:eastAsia="Times New Roman" w:cs="Times New Roman"/>
          <w:color w:val="000000"/>
          <w:lang w:eastAsia="en-GB"/>
        </w:rPr>
        <w:t>The case should never have gone to Court and makes the NHS look heartless and unresponsive with probable erosion of trust with the local community.</w:t>
      </w:r>
    </w:p>
    <w:p w:rsidR="00CF0FDE" w:rsidRPr="00CF0FDE" w:rsidRDefault="00CF0FDE" w:rsidP="00CF0FDE">
      <w:pPr>
        <w:numPr>
          <w:ilvl w:val="0"/>
          <w:numId w:val="1"/>
        </w:numPr>
        <w:shd w:val="clear" w:color="auto" w:fill="FFFFFF"/>
        <w:spacing w:before="100" w:beforeAutospacing="1" w:after="150"/>
        <w:rPr>
          <w:rFonts w:eastAsia="Times New Roman" w:cs="Times New Roman"/>
          <w:color w:val="000000"/>
          <w:lang w:eastAsia="en-GB"/>
        </w:rPr>
      </w:pPr>
      <w:r w:rsidRPr="00CF0FDE">
        <w:rPr>
          <w:rFonts w:eastAsia="Times New Roman" w:cs="Times New Roman"/>
          <w:color w:val="000000"/>
          <w:lang w:eastAsia="en-GB"/>
        </w:rPr>
        <w:t>The CCG clearly has an enormous financial challenge and needs to engage with multiple stakeholders in order to mitigate the impact of potential closure.</w:t>
      </w:r>
    </w:p>
    <w:p w:rsidR="00CF0FDE" w:rsidRPr="00CF0FDE" w:rsidRDefault="00CF0FDE" w:rsidP="00CF0FDE">
      <w:pPr>
        <w:rPr>
          <w:rFonts w:eastAsia="Times New Roman" w:cs="Times New Roman"/>
          <w:lang w:eastAsia="en-GB"/>
        </w:rPr>
      </w:pPr>
      <w:r w:rsidRPr="00CF0FDE">
        <w:rPr>
          <w:rFonts w:eastAsia="Times New Roman" w:cs="Times New Roman"/>
          <w:color w:val="3F3F3F"/>
          <w:lang w:eastAsia="en-GB"/>
        </w:rPr>
        <w:br/>
      </w:r>
      <w:r w:rsidRPr="00CF0FDE">
        <w:rPr>
          <w:rFonts w:eastAsia="Times New Roman" w:cs="Times New Roman"/>
          <w:color w:val="3F3F3F"/>
          <w:lang w:eastAsia="en-GB"/>
        </w:rPr>
        <w:br/>
      </w:r>
      <w:r w:rsidRPr="00CF0FDE">
        <w:rPr>
          <w:rFonts w:eastAsia="Times New Roman" w:cs="Times New Roman"/>
          <w:color w:val="3F3F3F"/>
          <w:shd w:val="clear" w:color="auto" w:fill="FFFFFF"/>
          <w:lang w:eastAsia="en-GB"/>
        </w:rPr>
        <w:t xml:space="preserve">* R (ex parte K, T &amp; </w:t>
      </w:r>
      <w:proofErr w:type="gramStart"/>
      <w:r w:rsidRPr="00CF0FDE">
        <w:rPr>
          <w:rFonts w:eastAsia="Times New Roman" w:cs="Times New Roman"/>
          <w:color w:val="3F3F3F"/>
          <w:shd w:val="clear" w:color="auto" w:fill="FFFFFF"/>
          <w:lang w:eastAsia="en-GB"/>
        </w:rPr>
        <w:t>M )</w:t>
      </w:r>
      <w:proofErr w:type="gramEnd"/>
      <w:r w:rsidRPr="00CF0FDE">
        <w:rPr>
          <w:rFonts w:eastAsia="Times New Roman" w:cs="Times New Roman"/>
          <w:color w:val="3F3F3F"/>
          <w:shd w:val="clear" w:color="auto" w:fill="FFFFFF"/>
          <w:lang w:eastAsia="en-GB"/>
        </w:rPr>
        <w:t xml:space="preserve"> v Hertfordshire Valleys CCG [2018] EWHC 267</w:t>
      </w:r>
    </w:p>
    <w:p w:rsidR="00D42DFD" w:rsidRPr="00CF0FDE" w:rsidRDefault="00D42DFD" w:rsidP="00CF0FDE"/>
    <w:sectPr w:rsidR="00D42DFD" w:rsidRPr="00CF0FDE"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A1447"/>
    <w:multiLevelType w:val="multilevel"/>
    <w:tmpl w:val="40A2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DE"/>
    <w:rsid w:val="00995368"/>
    <w:rsid w:val="00CF0FDE"/>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8A353C5E-2C6C-7046-88E0-6AA2836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0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2018-03-07T17:11:00Z</dcterms:created>
  <dcterms:modified xsi:type="dcterms:W3CDTF">2018-03-07T17:13:00Z</dcterms:modified>
</cp:coreProperties>
</file>