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E863" w14:textId="363D31DD" w:rsidR="009C25E3" w:rsidRPr="00FA359B" w:rsidRDefault="00FA359B" w:rsidP="00FA35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Arial Nova" w:hAnsi="Arial Nova"/>
          <w:sz w:val="36"/>
          <w:szCs w:val="36"/>
        </w:rPr>
      </w:pPr>
      <w:r w:rsidRPr="00FA359B">
        <w:rPr>
          <w:rFonts w:ascii="Arial Nova" w:hAnsi="Arial Nova"/>
          <w:sz w:val="36"/>
          <w:szCs w:val="36"/>
        </w:rPr>
        <w:t>MINI BULLETIN – 02 January 2024</w:t>
      </w:r>
    </w:p>
    <w:p w14:paraId="6D3799DB" w14:textId="77777777" w:rsidR="00FA359B" w:rsidRDefault="00FA359B"/>
    <w:p w14:paraId="0F63C224" w14:textId="77777777" w:rsidR="00FA359B" w:rsidRDefault="00FA359B" w:rsidP="00FA359B">
      <w:pPr>
        <w:shd w:val="clear" w:color="auto" w:fill="FFFFFF"/>
        <w:spacing w:before="120" w:after="180"/>
        <w:jc w:val="both"/>
        <w:textAlignment w:val="baseline"/>
      </w:pPr>
      <w:r>
        <w:rPr>
          <w:b/>
          <w:bCs/>
          <w:color w:val="202A30"/>
        </w:rPr>
        <w:t>ICBs hold overall responsibility</w:t>
      </w:r>
      <w:r>
        <w:rPr>
          <w:color w:val="202A30"/>
        </w:rPr>
        <w:t xml:space="preserve"> for ensuring implementation of proactive care, as part of an overall local plan </w:t>
      </w:r>
      <w:r>
        <w:rPr>
          <w:b/>
          <w:bCs/>
          <w:color w:val="202A30"/>
        </w:rPr>
        <w:t>to support people living with frailty</w:t>
      </w:r>
      <w:r>
        <w:rPr>
          <w:color w:val="202A30"/>
        </w:rPr>
        <w:t>.</w:t>
      </w:r>
    </w:p>
    <w:p w14:paraId="011B9F5F" w14:textId="044BD8AA" w:rsidR="00FA359B" w:rsidRDefault="00FA359B" w:rsidP="00FA359B">
      <w:pPr>
        <w:shd w:val="clear" w:color="auto" w:fill="FFFFFF"/>
        <w:spacing w:after="225"/>
        <w:jc w:val="both"/>
        <w:textAlignment w:val="baseline"/>
        <w:rPr>
          <w:rFonts w:eastAsia="Times New Roman" w:cstheme="minorHAnsi"/>
          <w:color w:val="202A30"/>
        </w:rPr>
      </w:pPr>
      <w:r>
        <w:rPr>
          <w:rFonts w:eastAsia="Times New Roman" w:cstheme="minorHAnsi"/>
          <w:color w:val="202A30"/>
        </w:rPr>
        <w:t xml:space="preserve">This guidance is for </w:t>
      </w:r>
      <w:r>
        <w:rPr>
          <w:rFonts w:eastAsia="Times New Roman" w:cstheme="minorHAnsi"/>
          <w:color w:val="202A30"/>
        </w:rPr>
        <w:t>I</w:t>
      </w:r>
      <w:r>
        <w:rPr>
          <w:rFonts w:eastAsia="Times New Roman" w:cstheme="minorHAnsi"/>
          <w:color w:val="202A30"/>
        </w:rPr>
        <w:t xml:space="preserve">ntegrated </w:t>
      </w:r>
      <w:r>
        <w:rPr>
          <w:rFonts w:eastAsia="Times New Roman" w:cstheme="minorHAnsi"/>
          <w:color w:val="202A30"/>
        </w:rPr>
        <w:t>C</w:t>
      </w:r>
      <w:r>
        <w:rPr>
          <w:rFonts w:eastAsia="Times New Roman" w:cstheme="minorHAnsi"/>
          <w:color w:val="202A30"/>
        </w:rPr>
        <w:t xml:space="preserve">are </w:t>
      </w:r>
      <w:r>
        <w:rPr>
          <w:rFonts w:eastAsia="Times New Roman" w:cstheme="minorHAnsi"/>
          <w:color w:val="202A30"/>
        </w:rPr>
        <w:t>B</w:t>
      </w:r>
      <w:r>
        <w:rPr>
          <w:rFonts w:eastAsia="Times New Roman" w:cstheme="minorHAnsi"/>
          <w:color w:val="202A30"/>
        </w:rPr>
        <w:t xml:space="preserve">oards (ICBs) and provider organisations involved in the design and delivery of </w:t>
      </w:r>
      <w:r>
        <w:rPr>
          <w:rFonts w:eastAsia="Times New Roman" w:cstheme="minorHAnsi"/>
          <w:color w:val="202A30"/>
        </w:rPr>
        <w:t>P</w:t>
      </w:r>
      <w:r>
        <w:rPr>
          <w:rFonts w:eastAsia="Times New Roman" w:cstheme="minorHAnsi"/>
          <w:color w:val="202A30"/>
        </w:rPr>
        <w:t xml:space="preserve">roactive </w:t>
      </w:r>
      <w:r>
        <w:rPr>
          <w:rFonts w:eastAsia="Times New Roman" w:cstheme="minorHAnsi"/>
          <w:color w:val="202A30"/>
        </w:rPr>
        <w:t>C</w:t>
      </w:r>
      <w:r>
        <w:rPr>
          <w:rFonts w:eastAsia="Times New Roman" w:cstheme="minorHAnsi"/>
          <w:color w:val="202A30"/>
        </w:rPr>
        <w:t>are.</w:t>
      </w:r>
    </w:p>
    <w:p w14:paraId="1BBDAD25" w14:textId="099F6C3D" w:rsidR="00FA359B" w:rsidRDefault="00FA359B" w:rsidP="00FA359B">
      <w:pPr>
        <w:shd w:val="clear" w:color="auto" w:fill="FFFFFF"/>
        <w:spacing w:after="225"/>
        <w:jc w:val="both"/>
        <w:textAlignment w:val="baseline"/>
        <w:rPr>
          <w:rFonts w:eastAsia="Times New Roman" w:cstheme="minorHAnsi"/>
          <w:color w:val="202A30"/>
        </w:rPr>
      </w:pPr>
      <w:r>
        <w:rPr>
          <w:rFonts w:eastAsia="Times New Roman" w:cstheme="minorHAnsi"/>
          <w:color w:val="202A30"/>
        </w:rPr>
        <w:t xml:space="preserve">Proactive </w:t>
      </w:r>
      <w:r>
        <w:rPr>
          <w:rFonts w:eastAsia="Times New Roman" w:cstheme="minorHAnsi"/>
          <w:color w:val="202A30"/>
        </w:rPr>
        <w:t>C</w:t>
      </w:r>
      <w:r>
        <w:rPr>
          <w:rFonts w:eastAsia="Times New Roman" w:cstheme="minorHAnsi"/>
          <w:color w:val="202A30"/>
        </w:rPr>
        <w:t>are is personalised and co-ordinated multi-professional support and interventions for people living with complex needs. Many systems are already delivering proactive care.</w:t>
      </w:r>
    </w:p>
    <w:p w14:paraId="56A82FAB" w14:textId="77777777" w:rsidR="00FA359B" w:rsidRDefault="00FA359B" w:rsidP="00FA359B">
      <w:pPr>
        <w:shd w:val="clear" w:color="auto" w:fill="FFFFFF"/>
        <w:spacing w:after="225"/>
        <w:jc w:val="both"/>
        <w:textAlignment w:val="baseline"/>
        <w:rPr>
          <w:rFonts w:eastAsia="Times New Roman" w:cstheme="minorHAnsi"/>
          <w:color w:val="202A30"/>
        </w:rPr>
      </w:pPr>
      <w:r>
        <w:rPr>
          <w:rFonts w:eastAsia="Times New Roman" w:cstheme="minorHAnsi"/>
          <w:color w:val="202A30"/>
        </w:rPr>
        <w:t>The specific aims of proactive care are to improve health outcomes and patient experience by:</w:t>
      </w:r>
    </w:p>
    <w:p w14:paraId="0D39A68D" w14:textId="27C0CAD1" w:rsidR="00FA359B" w:rsidRDefault="00FA359B" w:rsidP="00FA359B">
      <w:pPr>
        <w:shd w:val="clear" w:color="auto" w:fill="FFFFFF"/>
        <w:ind w:left="426" w:hanging="360"/>
        <w:jc w:val="both"/>
        <w:textAlignment w:val="baseline"/>
        <w:rPr>
          <w:rFonts w:eastAsia="Times New Roman" w:cstheme="minorHAnsi"/>
          <w:color w:val="202A30"/>
        </w:rPr>
      </w:pPr>
      <w:r>
        <w:rPr>
          <w:rFonts w:cstheme="minorHAnsi"/>
          <w:color w:val="202A30"/>
        </w:rPr>
        <w:t xml:space="preserve">1.     </w:t>
      </w:r>
      <w:r>
        <w:rPr>
          <w:rFonts w:cstheme="minorHAnsi"/>
          <w:color w:val="202A30"/>
        </w:rPr>
        <w:t>D</w:t>
      </w:r>
      <w:r>
        <w:rPr>
          <w:rFonts w:eastAsia="Times New Roman" w:cstheme="minorHAnsi"/>
          <w:color w:val="202A30"/>
        </w:rPr>
        <w:t>elaying the onset of health deterioration where possible</w:t>
      </w:r>
    </w:p>
    <w:p w14:paraId="77B72EE9" w14:textId="47B7054B" w:rsidR="00FA359B" w:rsidRDefault="00FA359B" w:rsidP="00FA359B">
      <w:pPr>
        <w:shd w:val="clear" w:color="auto" w:fill="FFFFFF"/>
        <w:ind w:left="426" w:hanging="360"/>
        <w:jc w:val="both"/>
        <w:textAlignment w:val="baseline"/>
        <w:rPr>
          <w:rFonts w:eastAsia="Times New Roman" w:cstheme="minorHAnsi"/>
          <w:color w:val="202A30"/>
        </w:rPr>
      </w:pPr>
      <w:r>
        <w:rPr>
          <w:rFonts w:cstheme="minorHAnsi"/>
          <w:color w:val="202A30"/>
        </w:rPr>
        <w:t xml:space="preserve">2.     </w:t>
      </w:r>
      <w:r>
        <w:rPr>
          <w:rFonts w:cstheme="minorHAnsi"/>
          <w:color w:val="202A30"/>
        </w:rPr>
        <w:t>M</w:t>
      </w:r>
      <w:r>
        <w:rPr>
          <w:rFonts w:eastAsia="Times New Roman" w:cstheme="minorHAnsi"/>
          <w:color w:val="202A30"/>
        </w:rPr>
        <w:t>aintaining independent living</w:t>
      </w:r>
    </w:p>
    <w:p w14:paraId="7BE0BB4A" w14:textId="77777777" w:rsidR="00FA359B" w:rsidRDefault="00FA359B" w:rsidP="00FA359B">
      <w:pPr>
        <w:shd w:val="clear" w:color="auto" w:fill="FFFFFF"/>
        <w:spacing w:after="0" w:line="240" w:lineRule="auto"/>
        <w:ind w:left="426" w:hanging="357"/>
        <w:jc w:val="both"/>
        <w:textAlignment w:val="baseline"/>
        <w:rPr>
          <w:rFonts w:eastAsia="Times New Roman" w:cstheme="minorHAnsi"/>
          <w:color w:val="202A30"/>
        </w:rPr>
      </w:pPr>
      <w:r>
        <w:rPr>
          <w:rFonts w:cstheme="minorHAnsi"/>
          <w:color w:val="202A30"/>
        </w:rPr>
        <w:t xml:space="preserve">3.     </w:t>
      </w:r>
      <w:r>
        <w:rPr>
          <w:rFonts w:cstheme="minorHAnsi"/>
          <w:color w:val="202A30"/>
        </w:rPr>
        <w:t>R</w:t>
      </w:r>
      <w:r>
        <w:rPr>
          <w:rFonts w:eastAsia="Times New Roman" w:cstheme="minorHAnsi"/>
          <w:color w:val="202A30"/>
        </w:rPr>
        <w:t xml:space="preserve">educing avoidable exacerbations of ill health, thereby reducing use of </w:t>
      </w:r>
    </w:p>
    <w:p w14:paraId="498F899E" w14:textId="77F4405A" w:rsidR="00FA359B" w:rsidRDefault="00FA359B" w:rsidP="00FA359B">
      <w:pPr>
        <w:shd w:val="clear" w:color="auto" w:fill="FFFFFF"/>
        <w:spacing w:after="0" w:line="240" w:lineRule="auto"/>
        <w:ind w:left="426" w:hanging="357"/>
        <w:jc w:val="both"/>
        <w:textAlignment w:val="baseline"/>
        <w:rPr>
          <w:rFonts w:eastAsia="Times New Roman" w:cstheme="minorHAnsi"/>
          <w:color w:val="202A30"/>
        </w:rPr>
      </w:pPr>
      <w:r>
        <w:rPr>
          <w:rFonts w:eastAsia="Times New Roman" w:cstheme="minorHAnsi"/>
          <w:color w:val="202A30"/>
        </w:rPr>
        <w:t xml:space="preserve">        </w:t>
      </w:r>
      <w:r>
        <w:rPr>
          <w:rFonts w:eastAsia="Times New Roman" w:cstheme="minorHAnsi"/>
          <w:color w:val="202A30"/>
        </w:rPr>
        <w:t>unplanned care.</w:t>
      </w:r>
    </w:p>
    <w:p w14:paraId="43BC5E38" w14:textId="77777777" w:rsidR="00FA359B" w:rsidRPr="00FA359B" w:rsidRDefault="00FA359B" w:rsidP="00FA359B">
      <w:pPr>
        <w:shd w:val="clear" w:color="auto" w:fill="FFFFFF"/>
        <w:spacing w:after="225"/>
        <w:jc w:val="both"/>
        <w:textAlignment w:val="baseline"/>
        <w:rPr>
          <w:rFonts w:eastAsia="Times New Roman" w:cstheme="minorHAnsi"/>
          <w:color w:val="202A30"/>
          <w:sz w:val="18"/>
          <w:szCs w:val="18"/>
        </w:rPr>
      </w:pPr>
    </w:p>
    <w:p w14:paraId="229F5EAC" w14:textId="62F3F2F4" w:rsidR="00FA359B" w:rsidRDefault="00FA359B" w:rsidP="00FA359B">
      <w:pPr>
        <w:shd w:val="clear" w:color="auto" w:fill="FFFFFF"/>
        <w:spacing w:after="225"/>
        <w:jc w:val="both"/>
        <w:textAlignment w:val="baseline"/>
        <w:rPr>
          <w:rFonts w:eastAsia="Times New Roman" w:cstheme="minorHAnsi"/>
          <w:color w:val="202A30"/>
        </w:rPr>
      </w:pPr>
      <w:r>
        <w:rPr>
          <w:rFonts w:eastAsia="Times New Roman" w:cstheme="minorHAnsi"/>
          <w:color w:val="202A30"/>
        </w:rPr>
        <w:t xml:space="preserve">This guidance supports a more consistent approach to </w:t>
      </w:r>
      <w:r>
        <w:rPr>
          <w:rFonts w:eastAsia="Times New Roman" w:cstheme="minorHAnsi"/>
          <w:color w:val="202A30"/>
        </w:rPr>
        <w:t>P</w:t>
      </w:r>
      <w:r>
        <w:rPr>
          <w:rFonts w:eastAsia="Times New Roman" w:cstheme="minorHAnsi"/>
          <w:color w:val="202A30"/>
        </w:rPr>
        <w:t xml:space="preserve">roactive </w:t>
      </w:r>
      <w:r>
        <w:rPr>
          <w:rFonts w:eastAsia="Times New Roman" w:cstheme="minorHAnsi"/>
          <w:color w:val="202A30"/>
        </w:rPr>
        <w:t>C</w:t>
      </w:r>
      <w:r>
        <w:rPr>
          <w:rFonts w:eastAsia="Times New Roman" w:cstheme="minorHAnsi"/>
          <w:color w:val="202A30"/>
        </w:rPr>
        <w:t xml:space="preserve">are across England for people living at home with moderate or severe frailty, in line with the latest evidence and best practice. Proactive </w:t>
      </w:r>
      <w:r>
        <w:rPr>
          <w:rFonts w:eastAsia="Times New Roman" w:cstheme="minorHAnsi"/>
          <w:color w:val="202A30"/>
        </w:rPr>
        <w:t>C</w:t>
      </w:r>
      <w:r>
        <w:rPr>
          <w:rFonts w:eastAsia="Times New Roman" w:cstheme="minorHAnsi"/>
          <w:color w:val="202A30"/>
        </w:rPr>
        <w:t>are for this group is not a new service or pathway, and this is simply a guide to using existing resources to support this defined group within local priorities.</w:t>
      </w:r>
    </w:p>
    <w:p w14:paraId="12D8A01F" w14:textId="77777777" w:rsidR="00FA359B" w:rsidRDefault="00FA359B" w:rsidP="00FA359B">
      <w:pPr>
        <w:shd w:val="clear" w:color="auto" w:fill="FFFFFF"/>
        <w:spacing w:after="225"/>
        <w:jc w:val="both"/>
        <w:textAlignment w:val="baseline"/>
        <w:rPr>
          <w:rFonts w:eastAsia="Times New Roman" w:cstheme="minorHAnsi"/>
          <w:color w:val="202A30"/>
        </w:rPr>
      </w:pPr>
    </w:p>
    <w:p w14:paraId="56FFB204" w14:textId="77777777" w:rsidR="00FA359B" w:rsidRPr="00FA359B" w:rsidRDefault="00FA359B" w:rsidP="00FA359B">
      <w:pPr>
        <w:pBdr>
          <w:bottom w:val="single" w:sz="4" w:space="1" w:color="auto"/>
        </w:pBdr>
        <w:shd w:val="clear" w:color="auto" w:fill="F2F2F2" w:themeFill="background1" w:themeFillShade="F2"/>
        <w:spacing w:before="120" w:after="180"/>
        <w:jc w:val="both"/>
        <w:textAlignment w:val="baseline"/>
        <w:rPr>
          <w:rFonts w:eastAsia="Times New Roman" w:cstheme="minorHAnsi"/>
          <w:b/>
          <w:bCs/>
        </w:rPr>
      </w:pPr>
      <w:r w:rsidRPr="00FA359B">
        <w:rPr>
          <w:rFonts w:eastAsia="Times New Roman" w:cstheme="minorHAnsi"/>
          <w:b/>
          <w:bCs/>
        </w:rPr>
        <w:t>Core components</w:t>
      </w:r>
    </w:p>
    <w:p w14:paraId="2A5D32E0" w14:textId="77777777" w:rsidR="00FA359B" w:rsidRDefault="00FA359B" w:rsidP="00FA359B">
      <w:pPr>
        <w:shd w:val="clear" w:color="auto" w:fill="FFFFFF"/>
        <w:spacing w:after="225"/>
        <w:jc w:val="both"/>
        <w:textAlignment w:val="baseline"/>
        <w:rPr>
          <w:rFonts w:eastAsia="Times New Roman" w:cstheme="minorHAnsi"/>
          <w:color w:val="202A30"/>
        </w:rPr>
      </w:pPr>
      <w:r>
        <w:rPr>
          <w:rFonts w:eastAsia="Times New Roman" w:cstheme="minorHAnsi"/>
          <w:color w:val="202A30"/>
        </w:rPr>
        <w:t>Building on the evidence and best practice from the NHS and internationally, we have identified five core components of the proactive care approach:</w:t>
      </w:r>
    </w:p>
    <w:p w14:paraId="547572AC" w14:textId="5C80A549" w:rsidR="00FA359B" w:rsidRDefault="00FA359B" w:rsidP="00FA359B">
      <w:pPr>
        <w:shd w:val="clear" w:color="auto" w:fill="FFFFFF"/>
        <w:ind w:left="426" w:hanging="360"/>
        <w:jc w:val="both"/>
        <w:textAlignment w:val="baseline"/>
        <w:rPr>
          <w:rFonts w:eastAsia="Times New Roman" w:cstheme="minorHAnsi"/>
          <w:color w:val="202A30"/>
        </w:rPr>
      </w:pPr>
      <w:r>
        <w:rPr>
          <w:rFonts w:cstheme="minorHAnsi"/>
          <w:color w:val="202A30"/>
        </w:rPr>
        <w:t>1.  </w:t>
      </w:r>
      <w:r>
        <w:rPr>
          <w:rFonts w:eastAsia="Times New Roman" w:cstheme="minorHAnsi"/>
          <w:color w:val="202A30"/>
        </w:rPr>
        <w:t>Identifying the target cohort for whom there is the greatest potential impact on health and system outcomes</w:t>
      </w:r>
    </w:p>
    <w:p w14:paraId="38BD0C46" w14:textId="5429A3E0" w:rsidR="00FA359B" w:rsidRDefault="00FA359B" w:rsidP="00FA359B">
      <w:pPr>
        <w:shd w:val="clear" w:color="auto" w:fill="FFFFFF"/>
        <w:ind w:left="426" w:hanging="360"/>
        <w:jc w:val="both"/>
        <w:textAlignment w:val="baseline"/>
        <w:rPr>
          <w:rFonts w:eastAsia="Times New Roman" w:cstheme="minorHAnsi"/>
          <w:color w:val="202A30"/>
        </w:rPr>
      </w:pPr>
      <w:r>
        <w:rPr>
          <w:rFonts w:cstheme="minorHAnsi"/>
          <w:color w:val="202A30"/>
        </w:rPr>
        <w:t>2.  </w:t>
      </w:r>
      <w:r>
        <w:rPr>
          <w:rFonts w:eastAsia="Times New Roman" w:cstheme="minorHAnsi"/>
          <w:color w:val="202A30"/>
        </w:rPr>
        <w:t>Carrying out holistic assessments, such as a Comprehensive Geriatric Assessment</w:t>
      </w:r>
    </w:p>
    <w:p w14:paraId="478CA076" w14:textId="1A734BA4" w:rsidR="00FA359B" w:rsidRDefault="00FA359B" w:rsidP="00FA359B">
      <w:pPr>
        <w:shd w:val="clear" w:color="auto" w:fill="FFFFFF"/>
        <w:ind w:left="426" w:hanging="360"/>
        <w:jc w:val="both"/>
        <w:textAlignment w:val="baseline"/>
        <w:rPr>
          <w:rFonts w:eastAsia="Times New Roman" w:cstheme="minorHAnsi"/>
          <w:color w:val="202A30"/>
        </w:rPr>
      </w:pPr>
      <w:r>
        <w:rPr>
          <w:rFonts w:cstheme="minorHAnsi"/>
          <w:color w:val="202A30"/>
        </w:rPr>
        <w:t>3.  </w:t>
      </w:r>
      <w:r>
        <w:rPr>
          <w:rFonts w:eastAsia="Times New Roman" w:cstheme="minorHAnsi"/>
          <w:color w:val="202A30"/>
        </w:rPr>
        <w:t>Developing a personalised care and support plan</w:t>
      </w:r>
    </w:p>
    <w:p w14:paraId="78F4B032" w14:textId="29A42D87" w:rsidR="00FA359B" w:rsidRDefault="00FA359B" w:rsidP="00FA359B">
      <w:pPr>
        <w:shd w:val="clear" w:color="auto" w:fill="FFFFFF"/>
        <w:ind w:left="426" w:hanging="360"/>
        <w:jc w:val="both"/>
        <w:textAlignment w:val="baseline"/>
        <w:rPr>
          <w:rFonts w:eastAsia="Times New Roman" w:cstheme="minorHAnsi"/>
          <w:color w:val="202A30"/>
        </w:rPr>
      </w:pPr>
      <w:r>
        <w:rPr>
          <w:rFonts w:cstheme="minorHAnsi"/>
          <w:color w:val="202A30"/>
        </w:rPr>
        <w:t>4.  </w:t>
      </w:r>
      <w:r>
        <w:rPr>
          <w:rFonts w:eastAsia="Times New Roman" w:cstheme="minorHAnsi"/>
          <w:color w:val="202A30"/>
        </w:rPr>
        <w:t>Delivering co-ordinated multi-professional interventions to address the person’s range of needs</w:t>
      </w:r>
    </w:p>
    <w:p w14:paraId="394C1137" w14:textId="1E7E00DD" w:rsidR="00FA359B" w:rsidRDefault="00FA359B" w:rsidP="00FA359B">
      <w:pPr>
        <w:shd w:val="clear" w:color="auto" w:fill="FFFFFF"/>
        <w:ind w:left="426" w:hanging="360"/>
        <w:jc w:val="both"/>
        <w:textAlignment w:val="baseline"/>
      </w:pPr>
      <w:r>
        <w:rPr>
          <w:rFonts w:cstheme="minorHAnsi"/>
          <w:color w:val="202A30"/>
        </w:rPr>
        <w:t>5.   </w:t>
      </w:r>
      <w:r>
        <w:rPr>
          <w:rFonts w:eastAsia="Times New Roman" w:cstheme="minorHAnsi"/>
          <w:color w:val="202A30"/>
        </w:rPr>
        <w:t>Providing a clear plan for continuity of care, including an agreed schedule of follow-ups.</w:t>
      </w:r>
    </w:p>
    <w:sectPr w:rsidR="00FA359B" w:rsidSect="00FA359B">
      <w:pgSz w:w="11906" w:h="16838"/>
      <w:pgMar w:top="1135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9B"/>
    <w:rsid w:val="00092E15"/>
    <w:rsid w:val="003B4D69"/>
    <w:rsid w:val="004D37C0"/>
    <w:rsid w:val="00667753"/>
    <w:rsid w:val="006A35D0"/>
    <w:rsid w:val="006E2A55"/>
    <w:rsid w:val="00720B0F"/>
    <w:rsid w:val="009254E9"/>
    <w:rsid w:val="009C25E3"/>
    <w:rsid w:val="00FA359B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18B3"/>
  <w15:chartTrackingRefBased/>
  <w15:docId w15:val="{D910D2D3-4CB2-4C54-B30B-FFD81CF0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2024-01-02T12:04:00Z</dcterms:created>
  <dcterms:modified xsi:type="dcterms:W3CDTF">2024-01-02T12:09:00Z</dcterms:modified>
</cp:coreProperties>
</file>