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EBD1" w14:textId="486DB69A" w:rsidR="009C25E3" w:rsidRPr="005D6EB2" w:rsidRDefault="005D6EB2" w:rsidP="005D6EB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5D6EB2">
        <w:rPr>
          <w:sz w:val="36"/>
          <w:szCs w:val="36"/>
        </w:rPr>
        <w:t>MINI BULLETIN – 15 MARCH 2024</w:t>
      </w:r>
    </w:p>
    <w:p w14:paraId="732FF7F7" w14:textId="77777777" w:rsidR="005D6EB2" w:rsidRDefault="005D6EB2"/>
    <w:p w14:paraId="4C0BFF85" w14:textId="27E9B2D7" w:rsidR="005D6EB2" w:rsidRPr="005D6EB2" w:rsidRDefault="005D6EB2" w:rsidP="005D6EB2">
      <w:pPr>
        <w:jc w:val="both"/>
        <w:rPr>
          <w:rFonts w:ascii="Arial Nova" w:hAnsi="Arial Nova" w:cs="Calibri"/>
          <w:shd w:val="clear" w:color="auto" w:fill="FFFFFF"/>
        </w:rPr>
      </w:pPr>
      <w:r w:rsidRPr="005D6EB2">
        <w:rPr>
          <w:rFonts w:ascii="Arial Nova" w:hAnsi="Arial Nova" w:cs="Calibri"/>
          <w:shd w:val="clear" w:color="auto" w:fill="FFFFFF"/>
        </w:rPr>
        <w:t xml:space="preserve">Just two in five GP </w:t>
      </w:r>
      <w:r w:rsidRPr="005D6EB2">
        <w:rPr>
          <w:rFonts w:ascii="Arial Nova" w:hAnsi="Arial Nova" w:cs="Calibri"/>
          <w:b/>
          <w:bCs/>
          <w:shd w:val="clear" w:color="auto" w:fill="FFFFFF"/>
        </w:rPr>
        <w:t>R</w:t>
      </w:r>
      <w:r w:rsidRPr="005D6EB2">
        <w:rPr>
          <w:rFonts w:ascii="Arial Nova" w:hAnsi="Arial Nova" w:cs="Calibri"/>
          <w:b/>
          <w:bCs/>
          <w:shd w:val="clear" w:color="auto" w:fill="FFFFFF"/>
        </w:rPr>
        <w:t xml:space="preserve">egistrars plan to work in UK </w:t>
      </w:r>
      <w:r w:rsidRPr="005D6EB2">
        <w:rPr>
          <w:rFonts w:ascii="Arial Nova" w:hAnsi="Arial Nova" w:cs="Calibri"/>
          <w:b/>
          <w:bCs/>
          <w:shd w:val="clear" w:color="auto" w:fill="FFFFFF"/>
        </w:rPr>
        <w:t>G</w:t>
      </w:r>
      <w:r w:rsidRPr="005D6EB2">
        <w:rPr>
          <w:rFonts w:ascii="Arial Nova" w:hAnsi="Arial Nova" w:cs="Calibri"/>
          <w:b/>
          <w:bCs/>
          <w:shd w:val="clear" w:color="auto" w:fill="FFFFFF"/>
        </w:rPr>
        <w:t xml:space="preserve">eneral </w:t>
      </w:r>
      <w:r w:rsidRPr="005D6EB2">
        <w:rPr>
          <w:rFonts w:ascii="Arial Nova" w:hAnsi="Arial Nova" w:cs="Calibri"/>
          <w:b/>
          <w:bCs/>
          <w:shd w:val="clear" w:color="auto" w:fill="FFFFFF"/>
        </w:rPr>
        <w:t>P</w:t>
      </w:r>
      <w:r w:rsidRPr="005D6EB2">
        <w:rPr>
          <w:rFonts w:ascii="Arial Nova" w:hAnsi="Arial Nova" w:cs="Calibri"/>
          <w:b/>
          <w:bCs/>
          <w:shd w:val="clear" w:color="auto" w:fill="FFFFFF"/>
        </w:rPr>
        <w:t>ractice</w:t>
      </w:r>
      <w:r w:rsidRPr="005D6EB2">
        <w:rPr>
          <w:rFonts w:ascii="Arial Nova" w:hAnsi="Arial Nova" w:cs="Calibri"/>
          <w:shd w:val="clear" w:color="auto" w:fill="FFFFFF"/>
        </w:rPr>
        <w:t xml:space="preserve"> once they complete training, a devastating BMA poll reveals</w:t>
      </w:r>
      <w:r w:rsidRPr="005D6EB2">
        <w:rPr>
          <w:rFonts w:ascii="Arial Nova" w:hAnsi="Arial Nova" w:cs="Calibri"/>
          <w:shd w:val="clear" w:color="auto" w:fill="FFFFFF"/>
        </w:rPr>
        <w:t>.</w:t>
      </w:r>
    </w:p>
    <w:p w14:paraId="03565EF2" w14:textId="77777777" w:rsidR="005D6EB2" w:rsidRPr="005D6EB2" w:rsidRDefault="005D6EB2" w:rsidP="005D6EB2">
      <w:pPr>
        <w:pBdr>
          <w:top w:val="single" w:sz="4" w:space="1" w:color="auto"/>
        </w:pBdr>
        <w:jc w:val="both"/>
        <w:rPr>
          <w:rFonts w:ascii="Arial Nova" w:hAnsi="Arial Nova" w:cs="Calibri"/>
          <w:shd w:val="clear" w:color="auto" w:fill="FFFFFF"/>
        </w:rPr>
      </w:pPr>
    </w:p>
    <w:p w14:paraId="45CDCB1A" w14:textId="4561539A" w:rsidR="005D6EB2" w:rsidRPr="005D6EB2" w:rsidRDefault="005D6EB2" w:rsidP="005D6EB2">
      <w:p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 xml:space="preserve">Patient-facing materials have now been produced to promote the benefits of </w:t>
      </w:r>
      <w:r w:rsidRPr="005D6EB2">
        <w:rPr>
          <w:rFonts w:ascii="Arial Nova" w:hAnsi="Arial Nova" w:cs="Calibri"/>
          <w:b/>
          <w:bCs/>
        </w:rPr>
        <w:t>patient choice.</w:t>
      </w:r>
      <w:r w:rsidRPr="005D6EB2">
        <w:rPr>
          <w:rFonts w:ascii="Arial Nova" w:hAnsi="Arial Nova" w:cs="Calibri"/>
        </w:rPr>
        <w:t xml:space="preserve"> Patients have a legal right to choose which </w:t>
      </w:r>
      <w:r w:rsidRPr="005D6EB2">
        <w:rPr>
          <w:rFonts w:ascii="Arial Nova" w:hAnsi="Arial Nova" w:cs="Calibri"/>
        </w:rPr>
        <w:t>H</w:t>
      </w:r>
      <w:r w:rsidRPr="005D6EB2">
        <w:rPr>
          <w:rFonts w:ascii="Arial Nova" w:hAnsi="Arial Nova" w:cs="Calibri"/>
        </w:rPr>
        <w:t>ospital they are referred to for their first outpatient appointment when they are being referred for treatment by a healthcare professional.</w:t>
      </w:r>
    </w:p>
    <w:p w14:paraId="0EC6614C" w14:textId="77777777" w:rsidR="005D6EB2" w:rsidRPr="005D6EB2" w:rsidRDefault="005D6EB2" w:rsidP="005D6EB2">
      <w:pPr>
        <w:jc w:val="both"/>
        <w:rPr>
          <w:rFonts w:ascii="Arial Nova" w:hAnsi="Arial Nova" w:cs="Calibri"/>
        </w:rPr>
      </w:pPr>
    </w:p>
    <w:p w14:paraId="02F58256" w14:textId="77777777" w:rsidR="005D6EB2" w:rsidRPr="005D6EB2" w:rsidRDefault="005D6EB2" w:rsidP="005D6EB2">
      <w:pPr>
        <w:pBdr>
          <w:top w:val="single" w:sz="4" w:space="1" w:color="auto"/>
        </w:pBdr>
        <w:jc w:val="both"/>
        <w:rPr>
          <w:rFonts w:ascii="Arial Nova" w:hAnsi="Arial Nova" w:cs="Calibri"/>
        </w:rPr>
      </w:pPr>
    </w:p>
    <w:p w14:paraId="4F21EF4A" w14:textId="4B0F45CE" w:rsidR="005D6EB2" w:rsidRPr="005D6EB2" w:rsidRDefault="005D6EB2" w:rsidP="005D6EB2">
      <w:p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 xml:space="preserve">From 1 April, </w:t>
      </w:r>
      <w:hyperlink r:id="rId5" w:history="1">
        <w:r w:rsidRPr="005D6EB2">
          <w:rPr>
            <w:rStyle w:val="Hyperlink"/>
            <w:rFonts w:ascii="Arial Nova" w:hAnsi="Arial Nova" w:cs="Calibri"/>
            <w:color w:val="auto"/>
          </w:rPr>
          <w:t>the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 xml:space="preserve"> 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>L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 xml:space="preserve">ateral 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>F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 xml:space="preserve">low 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>D</w:t>
        </w:r>
        <w:r w:rsidRPr="005D6EB2">
          <w:rPr>
            <w:rStyle w:val="Hyperlink"/>
            <w:rFonts w:ascii="Arial Nova" w:hAnsi="Arial Nova" w:cs="Calibri"/>
            <w:b/>
            <w:bCs/>
            <w:color w:val="auto"/>
          </w:rPr>
          <w:t xml:space="preserve">evice (LFD) </w:t>
        </w:r>
        <w:r w:rsidRPr="005D6EB2">
          <w:rPr>
            <w:rStyle w:val="Hyperlink"/>
            <w:rFonts w:ascii="Arial Nova" w:hAnsi="Arial Nova" w:cs="Calibri"/>
            <w:color w:val="auto"/>
          </w:rPr>
          <w:t>tests supply service for patients potentially eligible for COVID-19 treatments</w:t>
        </w:r>
      </w:hyperlink>
      <w:r w:rsidRPr="005D6EB2">
        <w:rPr>
          <w:rFonts w:ascii="Arial Nova" w:hAnsi="Arial Nova" w:cs="Calibri"/>
        </w:rPr>
        <w:t xml:space="preserve"> has been updated to include:</w:t>
      </w:r>
    </w:p>
    <w:p w14:paraId="63E5BCFA" w14:textId="66851E59" w:rsidR="005D6EB2" w:rsidRPr="005D6EB2" w:rsidRDefault="005D6EB2" w:rsidP="005D6EB2">
      <w:pPr>
        <w:pStyle w:val="ListParagraph"/>
        <w:numPr>
          <w:ilvl w:val="0"/>
          <w:numId w:val="1"/>
        </w:num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P</w:t>
      </w:r>
      <w:r w:rsidRPr="005D6EB2">
        <w:rPr>
          <w:rFonts w:ascii="Arial Nova" w:hAnsi="Arial Nova" w:cs="Calibri"/>
        </w:rPr>
        <w:t>eople aged 85 years and over</w:t>
      </w:r>
      <w:r w:rsidRPr="005D6EB2">
        <w:rPr>
          <w:rFonts w:ascii="Arial Nova" w:hAnsi="Arial Nova" w:cs="Calibri"/>
        </w:rPr>
        <w:t>.</w:t>
      </w:r>
    </w:p>
    <w:p w14:paraId="7F8FAD84" w14:textId="1BEA3ABD" w:rsidR="005D6EB2" w:rsidRPr="005D6EB2" w:rsidRDefault="005D6EB2" w:rsidP="005D6EB2">
      <w:pPr>
        <w:pStyle w:val="ListParagraph"/>
        <w:numPr>
          <w:ilvl w:val="0"/>
          <w:numId w:val="1"/>
        </w:num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P</w:t>
      </w:r>
      <w:r w:rsidRPr="005D6EB2">
        <w:rPr>
          <w:rFonts w:ascii="Arial Nova" w:hAnsi="Arial Nova" w:cs="Calibri"/>
        </w:rPr>
        <w:t>eople with end-stage heart failure who have a long-term ventricular assistance device</w:t>
      </w:r>
      <w:r w:rsidRPr="005D6EB2">
        <w:rPr>
          <w:rFonts w:ascii="Arial Nova" w:hAnsi="Arial Nova" w:cs="Calibri"/>
        </w:rPr>
        <w:t>.</w:t>
      </w:r>
    </w:p>
    <w:p w14:paraId="460093F8" w14:textId="03DC288D" w:rsidR="005D6EB2" w:rsidRPr="005D6EB2" w:rsidRDefault="005D6EB2" w:rsidP="005D6EB2">
      <w:pPr>
        <w:pStyle w:val="ListParagraph"/>
        <w:numPr>
          <w:ilvl w:val="0"/>
          <w:numId w:val="1"/>
        </w:num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P</w:t>
      </w:r>
      <w:r w:rsidRPr="005D6EB2">
        <w:rPr>
          <w:rFonts w:ascii="Arial Nova" w:hAnsi="Arial Nova" w:cs="Calibri"/>
        </w:rPr>
        <w:t>eople on the organ transplant waiting list</w:t>
      </w:r>
      <w:r w:rsidRPr="005D6EB2">
        <w:rPr>
          <w:rFonts w:ascii="Arial Nova" w:hAnsi="Arial Nova" w:cs="Calibri"/>
        </w:rPr>
        <w:t>.</w:t>
      </w:r>
    </w:p>
    <w:p w14:paraId="1F39640B" w14:textId="39B2517F" w:rsidR="005D6EB2" w:rsidRPr="005D6EB2" w:rsidRDefault="005D6EB2" w:rsidP="005D6EB2">
      <w:pPr>
        <w:pStyle w:val="ListParagraph"/>
        <w:numPr>
          <w:ilvl w:val="0"/>
          <w:numId w:val="1"/>
        </w:num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P</w:t>
      </w:r>
      <w:r w:rsidRPr="005D6EB2">
        <w:rPr>
          <w:rFonts w:ascii="Arial Nova" w:hAnsi="Arial Nova" w:cs="Calibri"/>
        </w:rPr>
        <w:t xml:space="preserve">eople aged 70 years and over, or who have a BMI of 35 kg/m2 or more, diabetes or heart failure, and: </w:t>
      </w:r>
      <w:r w:rsidRPr="005D6EB2">
        <w:rPr>
          <w:rFonts w:ascii="Arial" w:hAnsi="Arial" w:cs="Arial"/>
        </w:rPr>
        <w:t>−</w:t>
      </w:r>
      <w:r w:rsidRPr="005D6EB2">
        <w:rPr>
          <w:rFonts w:ascii="Arial Nova" w:hAnsi="Arial Nova" w:cs="Calibri"/>
        </w:rPr>
        <w:t xml:space="preserve"> are resident in a care home, or </w:t>
      </w:r>
      <w:r w:rsidRPr="005D6EB2">
        <w:rPr>
          <w:rFonts w:ascii="Arial" w:hAnsi="Arial" w:cs="Arial"/>
        </w:rPr>
        <w:t>−</w:t>
      </w:r>
      <w:r w:rsidRPr="005D6EB2">
        <w:rPr>
          <w:rFonts w:ascii="Arial Nova" w:hAnsi="Arial Nova" w:cs="Calibri"/>
        </w:rPr>
        <w:t xml:space="preserve"> are already hospitalised.</w:t>
      </w:r>
    </w:p>
    <w:p w14:paraId="18DD357E" w14:textId="77777777" w:rsidR="005D6EB2" w:rsidRPr="005D6EB2" w:rsidRDefault="005D6EB2" w:rsidP="005D6EB2">
      <w:pPr>
        <w:jc w:val="both"/>
        <w:rPr>
          <w:rFonts w:ascii="Arial Nova" w:hAnsi="Arial Nova" w:cs="Calibri"/>
        </w:rPr>
      </w:pPr>
      <w:hyperlink r:id="rId6" w:history="1">
        <w:r w:rsidRPr="005D6EB2">
          <w:rPr>
            <w:rStyle w:val="Hyperlink"/>
            <w:rFonts w:ascii="Arial Nova" w:hAnsi="Arial Nova" w:cs="Calibri"/>
            <w:color w:val="auto"/>
          </w:rPr>
          <w:t>Eligible patients</w:t>
        </w:r>
      </w:hyperlink>
      <w:r w:rsidRPr="005D6EB2">
        <w:rPr>
          <w:rFonts w:ascii="Arial Nova" w:hAnsi="Arial Nova" w:cs="Calibri"/>
        </w:rPr>
        <w:t xml:space="preserve"> can obtain a free box of five LFD tests from </w:t>
      </w:r>
      <w:r w:rsidRPr="005D6EB2">
        <w:rPr>
          <w:rFonts w:ascii="Arial Nova" w:hAnsi="Arial Nova" w:cs="Calibri"/>
        </w:rPr>
        <w:t>C</w:t>
      </w:r>
      <w:r w:rsidRPr="005D6EB2">
        <w:rPr>
          <w:rFonts w:ascii="Arial Nova" w:hAnsi="Arial Nova" w:cs="Calibri"/>
        </w:rPr>
        <w:t xml:space="preserve">ommunity </w:t>
      </w:r>
      <w:r w:rsidRPr="005D6EB2">
        <w:rPr>
          <w:rFonts w:ascii="Arial Nova" w:hAnsi="Arial Nova" w:cs="Calibri"/>
        </w:rPr>
        <w:t>P</w:t>
      </w:r>
      <w:r w:rsidRPr="005D6EB2">
        <w:rPr>
          <w:rFonts w:ascii="Arial Nova" w:hAnsi="Arial Nova" w:cs="Calibri"/>
        </w:rPr>
        <w:t xml:space="preserve">harmacy. </w:t>
      </w:r>
    </w:p>
    <w:p w14:paraId="77BFB064" w14:textId="4C1D3DEB" w:rsidR="005D6EB2" w:rsidRPr="005D6EB2" w:rsidRDefault="005D6EB2" w:rsidP="005D6EB2">
      <w:p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A positive LFD result may help to determine whether the patient is referred to a COVID-19 treatment service.</w:t>
      </w:r>
    </w:p>
    <w:p w14:paraId="7E72BE6A" w14:textId="77777777" w:rsidR="005D6EB2" w:rsidRPr="005D6EB2" w:rsidRDefault="005D6EB2" w:rsidP="005D6EB2">
      <w:pPr>
        <w:jc w:val="both"/>
        <w:rPr>
          <w:rFonts w:ascii="Arial Nova" w:hAnsi="Arial Nova" w:cs="Calibri"/>
        </w:rPr>
      </w:pPr>
    </w:p>
    <w:p w14:paraId="2B00DDAD" w14:textId="77777777" w:rsidR="005D6EB2" w:rsidRPr="005D6EB2" w:rsidRDefault="005D6EB2" w:rsidP="005D6EB2">
      <w:pPr>
        <w:pBdr>
          <w:top w:val="single" w:sz="4" w:space="1" w:color="auto"/>
        </w:pBdr>
        <w:jc w:val="both"/>
        <w:rPr>
          <w:rFonts w:ascii="Arial Nova" w:hAnsi="Arial Nova" w:cs="Calibri"/>
        </w:rPr>
      </w:pPr>
    </w:p>
    <w:p w14:paraId="12FFE8F0" w14:textId="77777777" w:rsidR="005D6EB2" w:rsidRPr="005D6EB2" w:rsidRDefault="005D6EB2" w:rsidP="005D6EB2">
      <w:pPr>
        <w:jc w:val="both"/>
        <w:rPr>
          <w:rFonts w:ascii="Arial Nova" w:hAnsi="Arial Nova" w:cs="Calibri"/>
          <w:b/>
          <w:bCs/>
          <w:u w:val="single"/>
        </w:rPr>
      </w:pPr>
      <w:r w:rsidRPr="005D6EB2">
        <w:rPr>
          <w:rFonts w:ascii="Arial Nova" w:hAnsi="Arial Nova" w:cs="Calibri"/>
          <w:b/>
          <w:bCs/>
          <w:u w:val="single"/>
        </w:rPr>
        <w:t>Over the counter items that should not be routinely prescribed</w:t>
      </w:r>
    </w:p>
    <w:p w14:paraId="07E158BD" w14:textId="77777777" w:rsidR="005D6EB2" w:rsidRPr="005D6EB2" w:rsidRDefault="005D6EB2" w:rsidP="005D6EB2">
      <w:p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 xml:space="preserve">This is general </w:t>
      </w:r>
      <w:hyperlink r:id="rId7" w:history="1">
        <w:r w:rsidRPr="005D6EB2">
          <w:rPr>
            <w:rStyle w:val="Hyperlink"/>
            <w:rFonts w:ascii="Arial Nova" w:hAnsi="Arial Nova" w:cs="Calibri"/>
            <w:color w:val="auto"/>
          </w:rPr>
          <w:t>guidance</w:t>
        </w:r>
      </w:hyperlink>
      <w:r w:rsidRPr="005D6EB2">
        <w:rPr>
          <w:rFonts w:ascii="Arial Nova" w:hAnsi="Arial Nova" w:cs="Calibri"/>
        </w:rPr>
        <w:t xml:space="preserve"> issued under </w:t>
      </w:r>
      <w:r w:rsidRPr="005D6EB2">
        <w:rPr>
          <w:rFonts w:ascii="Arial Nova" w:hAnsi="Arial Nova" w:cs="Calibri"/>
        </w:rPr>
        <w:t>S</w:t>
      </w:r>
      <w:r w:rsidRPr="005D6EB2">
        <w:rPr>
          <w:rFonts w:ascii="Arial Nova" w:hAnsi="Arial Nova" w:cs="Calibri"/>
        </w:rPr>
        <w:t xml:space="preserve">ection 14Z51 of the NHS Act 2006 to reduce unwarranted variation, improve patient outcomes and provide value for money for the NHS. </w:t>
      </w:r>
    </w:p>
    <w:p w14:paraId="4758A427" w14:textId="77777777" w:rsidR="005D6EB2" w:rsidRPr="005D6EB2" w:rsidRDefault="005D6EB2" w:rsidP="005D6EB2">
      <w:pPr>
        <w:jc w:val="both"/>
        <w:rPr>
          <w:rFonts w:ascii="Arial Nova" w:hAnsi="Arial Nova" w:cs="Calibri"/>
        </w:rPr>
      </w:pPr>
      <w:r w:rsidRPr="005D6EB2">
        <w:rPr>
          <w:rFonts w:ascii="Arial Nova" w:hAnsi="Arial Nova" w:cs="Calibri"/>
        </w:rPr>
        <w:t>It provides recommendations for items that are available over the counter and should not be routinely prescribed in primary care.</w:t>
      </w:r>
    </w:p>
    <w:p w14:paraId="212929F8" w14:textId="1F855850" w:rsidR="005D6EB2" w:rsidRDefault="005D6EB2" w:rsidP="005D6EB2">
      <w:pPr>
        <w:jc w:val="both"/>
      </w:pPr>
      <w:r w:rsidRPr="005D6EB2">
        <w:rPr>
          <w:rFonts w:ascii="Arial Nova" w:hAnsi="Arial Nova" w:cs="Calibri"/>
        </w:rPr>
        <w:br/>
      </w:r>
      <w:hyperlink r:id="rId8" w:history="1">
        <w:r w:rsidRPr="005D6EB2">
          <w:rPr>
            <w:rStyle w:val="Hyperlink"/>
            <w:rFonts w:ascii="Arial Nova" w:hAnsi="Arial Nova" w:cs="Calibri"/>
            <w:color w:val="0000EE"/>
          </w:rPr>
          <w:t>https://www.england.nhs.uk/publication/policy-guidance-conditions-for-which-over-the-counter-items-should-not-be-routinely-prescribed-in-primary-care/</w:t>
        </w:r>
      </w:hyperlink>
    </w:p>
    <w:sectPr w:rsidR="005D6EB2" w:rsidSect="005D6EB2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7867"/>
    <w:multiLevelType w:val="hybridMultilevel"/>
    <w:tmpl w:val="8DD004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B2"/>
    <w:rsid w:val="00092E15"/>
    <w:rsid w:val="003B4D69"/>
    <w:rsid w:val="004D37C0"/>
    <w:rsid w:val="005D6EB2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0193"/>
  <w15:chartTrackingRefBased/>
  <w15:docId w15:val="{5FFBEDC7-2832-41A6-8C0D-5B99B13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EB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EB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EB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EB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EB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EB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EB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EB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EB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EB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EB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EB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EB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EB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E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EB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EB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E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E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E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E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E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EB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D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england.nhs.uk%2Fpublication%2Fpolicy-guidance-conditions-for-which-over-the-counter-items-should-not-be-routinely-prescribed-in-primary-care%2F&amp;data=05%7C02%7C%7C30bfe991147743f2d0dd08dc44e36fec%7C84df9e7fe9f640afb435aaaaaaaaaaaa%7C1%7C0%7C638460990820089005%7CUnknown%7CTWFpbGZsb3d8eyJWIjoiMC4wLjAwMDAiLCJQIjoiV2luMzIiLCJBTiI6Ik1haWwiLCJXVCI6Mn0%3D%7C0%7C%7C%7C&amp;sdata=8Pw5X26OetWbapySQ5eg0MpPZGNqIny%2FPYokirMy0o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pcc-cic.us5.list-manage.com%2Ftrack%2Fclick%3Fu%3Dfe51aa41404cfb64f7d454491%26id%3D7d94910171%26e%3D9be2819f9a&amp;data=05%7C02%7C%7C30bfe991147743f2d0dd08dc44e36fec%7C84df9e7fe9f640afb435aaaaaaaaaaaa%7C1%7C0%7C638460990820081109%7CUnknown%7CTWFpbGZsb3d8eyJWIjoiMC4wLjAwMDAiLCJQIjoiV2luMzIiLCJBTiI6Ik1haWwiLCJXVCI6Mn0%3D%7C0%7C%7C%7C&amp;sdata=UrLrZR4f6Dex%2FaHq34edOl2VhMJ4J2kUUSnmG4yica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primarycarebulletin.createsend7.com%2Ft%2Fd-l-efjkuk-jlddojhjt-o%2F&amp;data=05%7C02%7C%7C30bfe991147743f2d0dd08dc44e36fec%7C84df9e7fe9f640afb435aaaaaaaaaaaa%7C1%7C0%7C638460990820072678%7CUnknown%7CTWFpbGZsb3d8eyJWIjoiMC4wLjAwMDAiLCJQIjoiV2luMzIiLCJBTiI6Ik1haWwiLCJXVCI6Mn0%3D%7C0%7C%7C%7C&amp;sdata=CKpfmIDDfDvNUJpVZxDbOlCcvPUL2D1koQrBCBoJkDg%3D&amp;reserved=0" TargetMode="External"/><Relationship Id="rId5" Type="http://schemas.openxmlformats.org/officeDocument/2006/relationships/hyperlink" Target="https://emea01.safelinks.protection.outlook.com/?url=https%3A%2F%2Fprimarycarebulletin.createsend7.com%2Ft%2Fd-l-efjkuk-jlddojhjt-u%2F&amp;data=05%7C02%7C%7C30bfe991147743f2d0dd08dc44e36fec%7C84df9e7fe9f640afb435aaaaaaaaaaaa%7C1%7C0%7C638460990820062105%7CUnknown%7CTWFpbGZsb3d8eyJWIjoiMC4wLjAwMDAiLCJQIjoiV2luMzIiLCJBTiI6Ik1haWwiLCJXVCI6Mn0%3D%7C0%7C%7C%7C&amp;sdata=dujA338Ue3YHgPK8h6ejFYkd0Ab3nOV7%2Fza7LyB322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2024-03-16T11:30:00Z</dcterms:created>
  <dcterms:modified xsi:type="dcterms:W3CDTF">2024-03-16T11:35:00Z</dcterms:modified>
</cp:coreProperties>
</file>