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D0AF9" w14:textId="7AAA5E9D" w:rsidR="009C25E3" w:rsidRPr="00C92619" w:rsidRDefault="00C92619" w:rsidP="00C92619">
      <w:pPr>
        <w:pBdr>
          <w:top w:val="single" w:sz="4" w:space="1" w:color="auto"/>
          <w:bottom w:val="single" w:sz="4" w:space="1" w:color="auto"/>
        </w:pBdr>
        <w:shd w:val="clear" w:color="auto" w:fill="F2F2F2" w:themeFill="background1" w:themeFillShade="F2"/>
        <w:jc w:val="center"/>
        <w:rPr>
          <w:sz w:val="36"/>
          <w:szCs w:val="36"/>
        </w:rPr>
      </w:pPr>
      <w:r w:rsidRPr="00C92619">
        <w:rPr>
          <w:sz w:val="36"/>
          <w:szCs w:val="36"/>
        </w:rPr>
        <w:t>MINI BULLETIN – 25 January 2023</w:t>
      </w:r>
    </w:p>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C92619" w14:paraId="149F4A8E" w14:textId="77777777" w:rsidTr="00C92619">
        <w:trPr>
          <w:tblCellSpacing w:w="0" w:type="dxa"/>
          <w:jc w:val="center"/>
        </w:trPr>
        <w:tc>
          <w:tcPr>
            <w:tcW w:w="0" w:type="auto"/>
            <w:vAlign w:val="center"/>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C92619" w14:paraId="384E094C" w14:textId="77777777" w:rsidTr="00C92619">
              <w:trPr>
                <w:trHeight w:val="1077"/>
                <w:tblCellSpacing w:w="0" w:type="dxa"/>
                <w:jc w:val="center"/>
              </w:trPr>
              <w:tc>
                <w:tcPr>
                  <w:tcW w:w="0" w:type="auto"/>
                  <w:tcMar>
                    <w:top w:w="300" w:type="dxa"/>
                    <w:left w:w="0" w:type="dxa"/>
                    <w:bottom w:w="30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9300"/>
                  </w:tblGrid>
                  <w:tr w:rsidR="00C92619" w14:paraId="1C08C28D"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92619" w14:paraId="08101DDB" w14:textId="77777777">
                          <w:trPr>
                            <w:tblCellSpacing w:w="0" w:type="dxa"/>
                          </w:trPr>
                          <w:tc>
                            <w:tcPr>
                              <w:tcW w:w="0" w:type="auto"/>
                              <w:tcMar>
                                <w:top w:w="225" w:type="dxa"/>
                                <w:left w:w="0" w:type="dxa"/>
                                <w:bottom w:w="22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92619" w14:paraId="5EDB804A" w14:textId="77777777" w:rsidTr="00C92619">
                                <w:trPr>
                                  <w:tblCellSpacing w:w="0" w:type="dxa"/>
                                </w:trPr>
                                <w:tc>
                                  <w:tcPr>
                                    <w:tcW w:w="0" w:type="auto"/>
                                    <w:tcBorders>
                                      <w:bottom w:val="single" w:sz="4" w:space="0" w:color="auto"/>
                                    </w:tcBorders>
                                    <w:tcMar>
                                      <w:top w:w="75" w:type="dxa"/>
                                      <w:left w:w="0" w:type="dxa"/>
                                      <w:bottom w:w="0" w:type="dxa"/>
                                      <w:right w:w="0" w:type="dxa"/>
                                    </w:tcMar>
                                    <w:hideMark/>
                                  </w:tcPr>
                                  <w:p w14:paraId="517917C9" w14:textId="77777777" w:rsidR="00C92619" w:rsidRDefault="00C92619" w:rsidP="00C92619">
                                    <w:pPr>
                                      <w:jc w:val="both"/>
                                    </w:pPr>
                                    <w:r>
                                      <w:t xml:space="preserve">A Bassetlaw GP who worked for nearly two decades as a military </w:t>
                                    </w:r>
                                    <w:r>
                                      <w:t>D</w:t>
                                    </w:r>
                                    <w:r>
                                      <w:t>octor</w:t>
                                    </w:r>
                                    <w:r>
                                      <w:t>,</w:t>
                                    </w:r>
                                    <w:r>
                                      <w:t xml:space="preserve"> is leading a protest over the </w:t>
                                    </w:r>
                                    <w:r>
                                      <w:rPr>
                                        <w:b/>
                                        <w:bCs/>
                                      </w:rPr>
                                      <w:t>collapse of local NHS services</w:t>
                                    </w:r>
                                    <w:r>
                                      <w:t xml:space="preserve"> - warning he could get patients into hospital quicker in warzones.</w:t>
                                    </w:r>
                                  </w:p>
                                  <w:p w14:paraId="2EA08358" w14:textId="21338B70" w:rsidR="00C92619" w:rsidRPr="00C92619" w:rsidRDefault="00C92619" w:rsidP="00C92619">
                                    <w:pPr>
                                      <w:jc w:val="both"/>
                                      <w:rPr>
                                        <w:sz w:val="16"/>
                                        <w:szCs w:val="16"/>
                                      </w:rPr>
                                    </w:pPr>
                                  </w:p>
                                </w:tc>
                              </w:tr>
                            </w:tbl>
                            <w:p w14:paraId="25D56F00" w14:textId="77777777" w:rsidR="00C92619" w:rsidRDefault="00C92619">
                              <w:pPr>
                                <w:rPr>
                                  <w:rFonts w:ascii="Times New Roman" w:eastAsia="Times New Roman" w:hAnsi="Times New Roman" w:cs="Times New Roman"/>
                                  <w:sz w:val="20"/>
                                  <w:szCs w:val="20"/>
                                </w:rPr>
                              </w:pPr>
                            </w:p>
                          </w:tc>
                        </w:tr>
                      </w:tbl>
                      <w:p w14:paraId="6D561FA4" w14:textId="77777777" w:rsidR="00C92619" w:rsidRDefault="00C92619">
                        <w:pPr>
                          <w:rPr>
                            <w:rFonts w:ascii="Times New Roman" w:eastAsia="Times New Roman" w:hAnsi="Times New Roman" w:cs="Times New Roman"/>
                            <w:sz w:val="20"/>
                            <w:szCs w:val="20"/>
                          </w:rPr>
                        </w:pPr>
                      </w:p>
                    </w:tc>
                  </w:tr>
                </w:tbl>
                <w:p w14:paraId="171C6B53" w14:textId="77777777" w:rsidR="00C92619" w:rsidRDefault="00C92619">
                  <w:pPr>
                    <w:rPr>
                      <w:rFonts w:ascii="Times New Roman" w:eastAsia="Times New Roman" w:hAnsi="Times New Roman" w:cs="Times New Roman"/>
                      <w:sz w:val="20"/>
                      <w:szCs w:val="20"/>
                    </w:rPr>
                  </w:pPr>
                </w:p>
              </w:tc>
            </w:tr>
          </w:tbl>
          <w:p w14:paraId="24C780A7" w14:textId="77777777" w:rsidR="00C92619" w:rsidRDefault="00C92619">
            <w:pPr>
              <w:jc w:val="center"/>
              <w:rPr>
                <w:rFonts w:ascii="Times New Roman" w:eastAsia="Times New Roman" w:hAnsi="Times New Roman" w:cs="Times New Roman"/>
                <w:sz w:val="20"/>
                <w:szCs w:val="20"/>
              </w:rPr>
            </w:pPr>
          </w:p>
        </w:tc>
      </w:tr>
      <w:tr w:rsidR="00C92619" w14:paraId="5940A0E0" w14:textId="77777777" w:rsidTr="00C92619">
        <w:trPr>
          <w:tblCellSpacing w:w="0" w:type="dxa"/>
          <w:jc w:val="center"/>
        </w:trPr>
        <w:tc>
          <w:tcPr>
            <w:tcW w:w="0" w:type="auto"/>
            <w:vAlign w:val="center"/>
          </w:tcPr>
          <w:p w14:paraId="62A7C515" w14:textId="1F68A0F2" w:rsidR="00C92619" w:rsidRDefault="00C92619" w:rsidP="00C92619">
            <w:pPr>
              <w:jc w:val="both"/>
            </w:pPr>
            <w:r>
              <w:t xml:space="preserve">Growing numbers of Practices have faced </w:t>
            </w:r>
            <w:r>
              <w:rPr>
                <w:b/>
                <w:bCs/>
              </w:rPr>
              <w:t>high rates of GP turnover</w:t>
            </w:r>
            <w:r>
              <w:t xml:space="preserve"> in the past decade, in a trend researchers have linked to increased A&amp;E use, worse continuity of care and lower patient satisfaction.</w:t>
            </w:r>
          </w:p>
        </w:tc>
      </w:tr>
      <w:tr w:rsidR="00C92619" w14:paraId="1B6426A0" w14:textId="77777777" w:rsidTr="000335AD">
        <w:trPr>
          <w:tblCellSpacing w:w="0" w:type="dxa"/>
          <w:jc w:val="center"/>
        </w:trPr>
        <w:tc>
          <w:tcPr>
            <w:tcW w:w="0" w:type="auto"/>
            <w:vAlign w:val="center"/>
            <w:hideMark/>
          </w:tcPr>
          <w:p w14:paraId="533EED3C" w14:textId="77777777" w:rsidR="00C92619" w:rsidRDefault="00C92619" w:rsidP="00C92619">
            <w:pPr>
              <w:pBdr>
                <w:bottom w:val="single" w:sz="4" w:space="1" w:color="auto"/>
              </w:pBdr>
              <w:jc w:val="both"/>
            </w:pPr>
          </w:p>
          <w:p w14:paraId="301FE9D2" w14:textId="77777777" w:rsidR="00C92619" w:rsidRPr="00C92619" w:rsidRDefault="00C92619" w:rsidP="00C92619">
            <w:pPr>
              <w:jc w:val="both"/>
              <w:rPr>
                <w:sz w:val="8"/>
                <w:szCs w:val="8"/>
              </w:rPr>
            </w:pPr>
          </w:p>
          <w:p w14:paraId="5359DAA8" w14:textId="77777777" w:rsidR="00C92619" w:rsidRDefault="00C92619" w:rsidP="00C92619">
            <w:pPr>
              <w:jc w:val="both"/>
              <w:rPr>
                <w:rFonts w:ascii="Calibri" w:hAnsi="Calibri" w:cs="Calibri"/>
              </w:rPr>
            </w:pPr>
            <w:r>
              <w:t xml:space="preserve">The NHS has issued a call for anyone </w:t>
            </w:r>
            <w:r>
              <w:rPr>
                <w:b/>
                <w:bCs/>
              </w:rPr>
              <w:t>eligible for cervical screening</w:t>
            </w:r>
            <w:r>
              <w:t xml:space="preserve"> to come forward, with nearly a third, around 4.6 million, not taking up their latest test. </w:t>
            </w:r>
          </w:p>
          <w:p w14:paraId="39262FCE" w14:textId="77777777" w:rsidR="00C92619" w:rsidRDefault="00C92619" w:rsidP="00C92619">
            <w:pPr>
              <w:pBdr>
                <w:bottom w:val="single" w:sz="4" w:space="1" w:color="auto"/>
              </w:pBdr>
              <w:jc w:val="both"/>
            </w:pPr>
          </w:p>
          <w:p w14:paraId="0904C456" w14:textId="77777777" w:rsidR="00C92619" w:rsidRPr="00C92619" w:rsidRDefault="00C92619" w:rsidP="00C92619">
            <w:pPr>
              <w:jc w:val="both"/>
              <w:rPr>
                <w:sz w:val="8"/>
                <w:szCs w:val="8"/>
              </w:rPr>
            </w:pPr>
          </w:p>
          <w:p w14:paraId="16ECCA32" w14:textId="77777777" w:rsidR="00C92619" w:rsidRDefault="00C92619" w:rsidP="00C92619">
            <w:pPr>
              <w:jc w:val="both"/>
              <w:rPr>
                <w:b/>
                <w:bCs/>
              </w:rPr>
            </w:pPr>
            <w:r>
              <w:rPr>
                <w:b/>
                <w:bCs/>
              </w:rPr>
              <w:t>The Primary Dental Services Statement of Financial Entitlements has been amended and signed and can be accessed on the NHS Business Services Authority website.</w:t>
            </w:r>
          </w:p>
          <w:p w14:paraId="1515A76C" w14:textId="77777777" w:rsidR="00C92619" w:rsidRDefault="00C92619" w:rsidP="00C92619">
            <w:pPr>
              <w:jc w:val="both"/>
            </w:pPr>
            <w:r>
              <w:t>This </w:t>
            </w:r>
            <w:hyperlink r:id="rId5" w:history="1">
              <w:r>
                <w:rPr>
                  <w:rStyle w:val="Hyperlink"/>
                </w:rPr>
                <w:t>amendment</w:t>
              </w:r>
            </w:hyperlink>
            <w:r>
              <w:t xml:space="preserve"> will enable the commissioning of 110% of contracted units of dental activity and the regularised payment of dental contractors for the training of dental foundation trainees, regardless of who the contracting arrangement is with. These both came into force from 28 December 2022. </w:t>
            </w:r>
          </w:p>
          <w:p w14:paraId="7AC4AA1B" w14:textId="77777777" w:rsidR="00C92619" w:rsidRDefault="00C92619" w:rsidP="00C92619">
            <w:pPr>
              <w:jc w:val="both"/>
            </w:pPr>
            <w:r>
              <w:t>It also enables the uplifting the contract salary elements and allowances in line with Doctors and Dentists Review Body recommendations for primary dentists, coming into force retrospectively from 1 April 2022.</w:t>
            </w:r>
          </w:p>
          <w:p w14:paraId="65BEBFC6" w14:textId="77777777" w:rsidR="00C92619" w:rsidRDefault="00C92619" w:rsidP="00C92619">
            <w:pPr>
              <w:pBdr>
                <w:bottom w:val="single" w:sz="4" w:space="1" w:color="auto"/>
              </w:pBdr>
              <w:jc w:val="both"/>
            </w:pPr>
          </w:p>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C92619" w14:paraId="0C55D8CE" w14:textId="77777777" w:rsidTr="000335AD">
              <w:trPr>
                <w:tblCellSpacing w:w="0" w:type="dxa"/>
                <w:jc w:val="center"/>
              </w:trPr>
              <w:tc>
                <w:tcPr>
                  <w:tcW w:w="0" w:type="auto"/>
                  <w:vAlign w:val="center"/>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C92619" w14:paraId="0F8929E7" w14:textId="77777777" w:rsidTr="00C92619">
                    <w:trPr>
                      <w:trHeight w:val="3795"/>
                      <w:tblCellSpacing w:w="0" w:type="dxa"/>
                      <w:jc w:val="center"/>
                    </w:trPr>
                    <w:tc>
                      <w:tcPr>
                        <w:tcW w:w="0" w:type="auto"/>
                        <w:tcMar>
                          <w:top w:w="300" w:type="dxa"/>
                          <w:left w:w="0" w:type="dxa"/>
                          <w:bottom w:w="30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9300"/>
                        </w:tblGrid>
                        <w:tr w:rsidR="00C92619" w14:paraId="00D8B466" w14:textId="77777777" w:rsidTr="000335A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92619" w14:paraId="17CA2C3F" w14:textId="77777777" w:rsidTr="000335AD">
                                <w:trPr>
                                  <w:tblCellSpacing w:w="0" w:type="dxa"/>
                                </w:trPr>
                                <w:tc>
                                  <w:tcPr>
                                    <w:tcW w:w="0" w:type="auto"/>
                                    <w:tcMar>
                                      <w:top w:w="225" w:type="dxa"/>
                                      <w:left w:w="0" w:type="dxa"/>
                                      <w:bottom w:w="22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92619" w14:paraId="01B9CCE1" w14:textId="77777777" w:rsidTr="00C92619">
                                      <w:trPr>
                                        <w:trHeight w:val="101"/>
                                        <w:tblCellSpacing w:w="0" w:type="dxa"/>
                                      </w:trPr>
                                      <w:tc>
                                        <w:tcPr>
                                          <w:tcW w:w="0" w:type="auto"/>
                                          <w:tcMar>
                                            <w:top w:w="75" w:type="dxa"/>
                                            <w:left w:w="0" w:type="dxa"/>
                                            <w:bottom w:w="0" w:type="dxa"/>
                                            <w:right w:w="0" w:type="dxa"/>
                                          </w:tcMar>
                                          <w:hideMark/>
                                        </w:tcPr>
                                        <w:p w14:paraId="61CFF368" w14:textId="77777777" w:rsidR="00C92619" w:rsidRDefault="00C92619" w:rsidP="00C92619">
                                          <w:pPr>
                                            <w:ind w:left="142"/>
                                            <w:jc w:val="both"/>
                                          </w:pPr>
                                          <w:r>
                                            <w:t xml:space="preserve">People at higher risk of severe </w:t>
                                          </w:r>
                                          <w:r>
                                            <w:rPr>
                                              <w:b/>
                                              <w:bCs/>
                                            </w:rPr>
                                            <w:t>COVID-19</w:t>
                                          </w:r>
                                          <w:r>
                                            <w:t xml:space="preserve"> should be offered a booster vaccination this Autumn, while a smaller group at the greatest risk, including those who are immunosuppressed, should receive an extra dose this spring, the Joint Committee on </w:t>
                                          </w:r>
                                          <w:proofErr w:type="gramStart"/>
                                          <w:r>
                                            <w:t>Vaccinations</w:t>
                                          </w:r>
                                          <w:proofErr w:type="gramEnd"/>
                                          <w:r>
                                            <w:t xml:space="preserve"> and Immunisations (JCVI) has said.</w:t>
                                          </w:r>
                                        </w:p>
                                      </w:tc>
                                    </w:tr>
                                  </w:tbl>
                                  <w:p w14:paraId="4FF57D06" w14:textId="77777777" w:rsidR="00C92619" w:rsidRDefault="00C92619" w:rsidP="00C92619">
                                    <w:pPr>
                                      <w:jc w:val="both"/>
                                      <w:rPr>
                                        <w:rFonts w:ascii="Times New Roman" w:eastAsia="Times New Roman" w:hAnsi="Times New Roman" w:cs="Times New Roman"/>
                                        <w:sz w:val="20"/>
                                        <w:szCs w:val="20"/>
                                      </w:rPr>
                                    </w:pPr>
                                  </w:p>
                                </w:tc>
                              </w:tr>
                            </w:tbl>
                            <w:p w14:paraId="421027EE" w14:textId="77777777" w:rsidR="00C92619" w:rsidRDefault="00C92619" w:rsidP="00C92619">
                              <w:pPr>
                                <w:jc w:val="both"/>
                                <w:rPr>
                                  <w:rFonts w:ascii="Times New Roman" w:eastAsia="Times New Roman" w:hAnsi="Times New Roman" w:cs="Times New Roman"/>
                                  <w:sz w:val="20"/>
                                  <w:szCs w:val="20"/>
                                </w:rPr>
                              </w:pPr>
                            </w:p>
                          </w:tc>
                        </w:tr>
                      </w:tbl>
                      <w:p w14:paraId="148D65DA" w14:textId="77777777" w:rsidR="00C92619" w:rsidRDefault="00C92619" w:rsidP="00C92619">
                        <w:pPr>
                          <w:jc w:val="both"/>
                          <w:rPr>
                            <w:rFonts w:ascii="Times New Roman" w:eastAsia="Times New Roman" w:hAnsi="Times New Roman" w:cs="Times New Roman"/>
                            <w:sz w:val="20"/>
                            <w:szCs w:val="20"/>
                          </w:rPr>
                        </w:pPr>
                      </w:p>
                    </w:tc>
                  </w:tr>
                </w:tbl>
                <w:p w14:paraId="1C192965" w14:textId="77777777" w:rsidR="00C92619" w:rsidRDefault="00C92619" w:rsidP="00C92619">
                  <w:pPr>
                    <w:jc w:val="both"/>
                    <w:rPr>
                      <w:rFonts w:ascii="Times New Roman" w:eastAsia="Times New Roman" w:hAnsi="Times New Roman" w:cs="Times New Roman"/>
                      <w:sz w:val="20"/>
                      <w:szCs w:val="20"/>
                    </w:rPr>
                  </w:pPr>
                </w:p>
              </w:tc>
            </w:tr>
          </w:tbl>
          <w:p w14:paraId="4D2F53B6" w14:textId="2BAB57F7" w:rsidR="00C92619" w:rsidRDefault="00C92619" w:rsidP="00C92619">
            <w:pPr>
              <w:jc w:val="both"/>
            </w:pPr>
          </w:p>
          <w:p w14:paraId="675A7951" w14:textId="14ED096C" w:rsidR="00C92619" w:rsidRDefault="00C92619" w:rsidP="00C92619">
            <w:pPr>
              <w:jc w:val="both"/>
            </w:pPr>
          </w:p>
          <w:p w14:paraId="648F2469" w14:textId="6274C87A" w:rsidR="00C92619" w:rsidRDefault="00C92619" w:rsidP="00C92619">
            <w:pPr>
              <w:jc w:val="both"/>
            </w:pPr>
          </w:p>
          <w:p w14:paraId="353BE596" w14:textId="55E3693B" w:rsidR="00C92619" w:rsidRDefault="00C92619" w:rsidP="00C92619">
            <w:pPr>
              <w:jc w:val="both"/>
            </w:pPr>
          </w:p>
          <w:p w14:paraId="1048F00D" w14:textId="592DE09D" w:rsidR="00C92619" w:rsidRDefault="00C92619" w:rsidP="00C92619">
            <w:pPr>
              <w:jc w:val="both"/>
            </w:pPr>
          </w:p>
          <w:p w14:paraId="500EC239" w14:textId="613DE0B8" w:rsidR="00C92619" w:rsidRDefault="00C92619" w:rsidP="00C92619">
            <w:pPr>
              <w:jc w:val="both"/>
            </w:pPr>
          </w:p>
          <w:p w14:paraId="1DE2CEC8" w14:textId="2123A3A1" w:rsidR="00C92619" w:rsidRDefault="00C92619" w:rsidP="00C92619">
            <w:pPr>
              <w:jc w:val="both"/>
            </w:pPr>
          </w:p>
          <w:p w14:paraId="6F490A36" w14:textId="6019B8B2" w:rsidR="00C92619" w:rsidRDefault="00C92619" w:rsidP="00C92619">
            <w:pPr>
              <w:jc w:val="both"/>
            </w:pPr>
          </w:p>
          <w:p w14:paraId="55CF60E6" w14:textId="0FC54866" w:rsidR="00C92619" w:rsidRDefault="00C92619" w:rsidP="00C92619">
            <w:pPr>
              <w:jc w:val="both"/>
            </w:pPr>
          </w:p>
          <w:p w14:paraId="1E7739AA" w14:textId="77777777" w:rsidR="00C92619" w:rsidRDefault="00C92619" w:rsidP="00C92619">
            <w:pPr>
              <w:jc w:val="both"/>
            </w:pPr>
          </w:p>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C92619" w14:paraId="6D822B73" w14:textId="77777777" w:rsidTr="000335AD">
              <w:trPr>
                <w:tblCellSpacing w:w="0" w:type="dxa"/>
                <w:jc w:val="center"/>
              </w:trPr>
              <w:tc>
                <w:tcPr>
                  <w:tcW w:w="0" w:type="auto"/>
                  <w:tcMar>
                    <w:top w:w="300" w:type="dxa"/>
                    <w:left w:w="0" w:type="dxa"/>
                    <w:bottom w:w="300" w:type="dxa"/>
                    <w:right w:w="0" w:type="dxa"/>
                  </w:tcMar>
                  <w:hideMark/>
                </w:tcPr>
                <w:p w14:paraId="32E101D0" w14:textId="77777777" w:rsidR="00C92619" w:rsidRDefault="00C92619" w:rsidP="00C92619">
                  <w:pPr>
                    <w:jc w:val="both"/>
                  </w:pPr>
                </w:p>
                <w:tbl>
                  <w:tblPr>
                    <w:tblW w:w="0" w:type="auto"/>
                    <w:tblCellSpacing w:w="0" w:type="dxa"/>
                    <w:tblCellMar>
                      <w:left w:w="0" w:type="dxa"/>
                      <w:right w:w="0" w:type="dxa"/>
                    </w:tblCellMar>
                    <w:tblLook w:val="04A0" w:firstRow="1" w:lastRow="0" w:firstColumn="1" w:lastColumn="0" w:noHBand="0" w:noVBand="1"/>
                  </w:tblPr>
                  <w:tblGrid>
                    <w:gridCol w:w="6"/>
                  </w:tblGrid>
                  <w:tr w:rsidR="00C92619" w14:paraId="48AB9F4B" w14:textId="77777777" w:rsidTr="000335AD">
                    <w:trPr>
                      <w:tblCellSpacing w:w="0" w:type="dxa"/>
                    </w:trPr>
                    <w:tc>
                      <w:tcPr>
                        <w:tcW w:w="0" w:type="auto"/>
                        <w:hideMark/>
                      </w:tcPr>
                      <w:p w14:paraId="041BA04B" w14:textId="77777777" w:rsidR="00C92619" w:rsidRDefault="00C92619" w:rsidP="00C92619">
                        <w:pPr>
                          <w:jc w:val="both"/>
                        </w:pPr>
                      </w:p>
                      <w:tbl>
                        <w:tblPr>
                          <w:tblW w:w="5000" w:type="pct"/>
                          <w:tblCellSpacing w:w="0" w:type="dxa"/>
                          <w:tblCellMar>
                            <w:left w:w="0" w:type="dxa"/>
                            <w:right w:w="0" w:type="dxa"/>
                          </w:tblCellMar>
                          <w:tblLook w:val="04A0" w:firstRow="1" w:lastRow="0" w:firstColumn="1" w:lastColumn="0" w:noHBand="0" w:noVBand="1"/>
                        </w:tblPr>
                        <w:tblGrid>
                          <w:gridCol w:w="6"/>
                        </w:tblGrid>
                        <w:tr w:rsidR="00C92619" w14:paraId="09A9B87D" w14:textId="77777777" w:rsidTr="000335AD">
                          <w:trPr>
                            <w:tblCellSpacing w:w="0" w:type="dxa"/>
                          </w:trPr>
                          <w:tc>
                            <w:tcPr>
                              <w:tcW w:w="0" w:type="auto"/>
                              <w:tcMar>
                                <w:top w:w="225" w:type="dxa"/>
                                <w:left w:w="0" w:type="dxa"/>
                                <w:bottom w:w="225" w:type="dxa"/>
                                <w:right w:w="0" w:type="dxa"/>
                              </w:tcMar>
                              <w:vAlign w:val="center"/>
                              <w:hideMark/>
                            </w:tcPr>
                            <w:p w14:paraId="23C97F0B" w14:textId="77777777" w:rsidR="00C92619" w:rsidRDefault="00C92619" w:rsidP="00C92619">
                              <w:pPr>
                                <w:jc w:val="both"/>
                              </w:pPr>
                            </w:p>
                            <w:tbl>
                              <w:tblPr>
                                <w:tblW w:w="5000" w:type="pct"/>
                                <w:tblCellSpacing w:w="0" w:type="dxa"/>
                                <w:tblCellMar>
                                  <w:left w:w="0" w:type="dxa"/>
                                  <w:right w:w="0" w:type="dxa"/>
                                </w:tblCellMar>
                                <w:tblLook w:val="04A0" w:firstRow="1" w:lastRow="0" w:firstColumn="1" w:lastColumn="0" w:noHBand="0" w:noVBand="1"/>
                              </w:tblPr>
                              <w:tblGrid>
                                <w:gridCol w:w="6"/>
                              </w:tblGrid>
                              <w:tr w:rsidR="00C92619" w14:paraId="60067ADE" w14:textId="77777777" w:rsidTr="000335AD">
                                <w:trPr>
                                  <w:tblCellSpacing w:w="0" w:type="dxa"/>
                                </w:trPr>
                                <w:tc>
                                  <w:tcPr>
                                    <w:tcW w:w="0" w:type="auto"/>
                                    <w:tcMar>
                                      <w:top w:w="75" w:type="dxa"/>
                                      <w:left w:w="0" w:type="dxa"/>
                                      <w:bottom w:w="0" w:type="dxa"/>
                                      <w:right w:w="0" w:type="dxa"/>
                                    </w:tcMar>
                                    <w:hideMark/>
                                  </w:tcPr>
                                  <w:p w14:paraId="274A14A3" w14:textId="1A6148D3" w:rsidR="00C92619" w:rsidRDefault="00C92619" w:rsidP="00C92619">
                                    <w:pPr>
                                      <w:jc w:val="both"/>
                                      <w:rPr>
                                        <w:rFonts w:ascii="Calibri" w:hAnsi="Calibri" w:cs="Calibri"/>
                                      </w:rPr>
                                    </w:pPr>
                                  </w:p>
                                </w:tc>
                              </w:tr>
                            </w:tbl>
                            <w:p w14:paraId="73A485B0" w14:textId="77777777" w:rsidR="00C92619" w:rsidRDefault="00C92619" w:rsidP="00C92619">
                              <w:pPr>
                                <w:jc w:val="both"/>
                                <w:rPr>
                                  <w:rFonts w:ascii="Times New Roman" w:eastAsia="Times New Roman" w:hAnsi="Times New Roman" w:cs="Times New Roman"/>
                                  <w:sz w:val="20"/>
                                  <w:szCs w:val="20"/>
                                </w:rPr>
                              </w:pPr>
                            </w:p>
                          </w:tc>
                        </w:tr>
                      </w:tbl>
                      <w:p w14:paraId="4F173726" w14:textId="77777777" w:rsidR="00C92619" w:rsidRDefault="00C92619" w:rsidP="00C92619">
                        <w:pPr>
                          <w:jc w:val="both"/>
                          <w:rPr>
                            <w:rFonts w:ascii="Times New Roman" w:eastAsia="Times New Roman" w:hAnsi="Times New Roman" w:cs="Times New Roman"/>
                            <w:sz w:val="20"/>
                            <w:szCs w:val="20"/>
                          </w:rPr>
                        </w:pPr>
                      </w:p>
                    </w:tc>
                  </w:tr>
                </w:tbl>
                <w:p w14:paraId="7B0AEF10" w14:textId="77777777" w:rsidR="00C92619" w:rsidRDefault="00C92619" w:rsidP="00C92619">
                  <w:pPr>
                    <w:jc w:val="both"/>
                    <w:rPr>
                      <w:rFonts w:ascii="Times New Roman" w:eastAsia="Times New Roman" w:hAnsi="Times New Roman" w:cs="Times New Roman"/>
                      <w:sz w:val="20"/>
                      <w:szCs w:val="20"/>
                    </w:rPr>
                  </w:pPr>
                </w:p>
              </w:tc>
            </w:tr>
          </w:tbl>
          <w:p w14:paraId="35C9D7AF" w14:textId="77777777" w:rsidR="00C92619" w:rsidRDefault="00C92619" w:rsidP="00C92619">
            <w:pPr>
              <w:jc w:val="both"/>
              <w:rPr>
                <w:rFonts w:ascii="Times New Roman" w:eastAsia="Times New Roman" w:hAnsi="Times New Roman" w:cs="Times New Roman"/>
                <w:sz w:val="20"/>
                <w:szCs w:val="20"/>
              </w:rPr>
            </w:pPr>
          </w:p>
        </w:tc>
      </w:tr>
    </w:tbl>
    <w:p w14:paraId="74FC9D0D" w14:textId="7BD1C07F" w:rsidR="00C92619" w:rsidRDefault="00C92619" w:rsidP="00C92619"/>
    <w:sectPr w:rsidR="00C92619" w:rsidSect="00C92619">
      <w:pgSz w:w="11906" w:h="16838"/>
      <w:pgMar w:top="1276" w:right="1134"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19"/>
    <w:rsid w:val="00092E15"/>
    <w:rsid w:val="003B4D69"/>
    <w:rsid w:val="004D37C0"/>
    <w:rsid w:val="00667753"/>
    <w:rsid w:val="006A35D0"/>
    <w:rsid w:val="006E2A55"/>
    <w:rsid w:val="00720B0F"/>
    <w:rsid w:val="009254E9"/>
    <w:rsid w:val="009C25E3"/>
    <w:rsid w:val="00C92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3EDD"/>
  <w15:chartTrackingRefBased/>
  <w15:docId w15:val="{FDA7BDE9-DDCD-4CC4-BBF1-334B7B5C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26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3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mea01.safelinks.protection.outlook.com/?url=https%3A%2F%2Fwww.nhsbsa.nhs.uk%2Fsites%2Fdefault%2Ffiles%2F2022-12%2FSFE%2520Directions%2520Amendment%25202%25202022%2520-%2520signed.pdf&amp;data=05%7C01%7C%7C401221de72364a72b74208dafed85578%7C84df9e7fe9f640afb435aaaaaaaaaaaa%7C1%7C0%7C638102502340798486%7CUnknown%7CTWFpbGZsb3d8eyJWIjoiMC4wLjAwMDAiLCJQIjoiV2luMzIiLCJBTiI6Ik1haWwiLCJXVCI6Mn0%3D%7C3000%7C%7C%7C&amp;sdata=2Ctr74cNFOzl5DoUw6iqDFsWe5HH4Kwpgymov3C7ihg%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5B8B9-E5DC-4CFD-86A4-1D9A2950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2023-01-25T13:31:00Z</dcterms:created>
  <dcterms:modified xsi:type="dcterms:W3CDTF">2023-01-25T13:39:00Z</dcterms:modified>
</cp:coreProperties>
</file>