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59" w:rsidRPr="001E0359" w:rsidRDefault="001E0359" w:rsidP="001E035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bookmarkStart w:id="0" w:name="_GoBack"/>
      <w:r w:rsidRPr="001E0359">
        <w:rPr>
          <w:rFonts w:ascii="Arial" w:hAnsi="Arial" w:cs="Arial"/>
          <w:b/>
          <w:bCs/>
          <w:color w:val="18376A"/>
          <w:lang w:val="en-US"/>
        </w:rPr>
        <w:t xml:space="preserve">NHS England publishes new and amended specifications and policies </w:t>
      </w:r>
      <w:bookmarkEnd w:id="0"/>
      <w:r w:rsidRPr="001E0359">
        <w:rPr>
          <w:rFonts w:ascii="Arial" w:hAnsi="Arial" w:cs="Arial"/>
          <w:b/>
          <w:bCs/>
          <w:color w:val="18376A"/>
          <w:lang w:val="en-US"/>
        </w:rPr>
        <w:t xml:space="preserve">for its </w:t>
      </w:r>
      <w:proofErr w:type="spellStart"/>
      <w:r w:rsidRPr="001E0359">
        <w:rPr>
          <w:rFonts w:ascii="Arial" w:hAnsi="Arial" w:cs="Arial"/>
          <w:b/>
          <w:bCs/>
          <w:color w:val="18376A"/>
          <w:lang w:val="en-US"/>
        </w:rPr>
        <w:t>specialised</w:t>
      </w:r>
      <w:proofErr w:type="spellEnd"/>
      <w:r w:rsidRPr="001E0359">
        <w:rPr>
          <w:rFonts w:ascii="Arial" w:hAnsi="Arial" w:cs="Arial"/>
          <w:b/>
          <w:bCs/>
          <w:color w:val="18376A"/>
          <w:lang w:val="en-US"/>
        </w:rPr>
        <w:t xml:space="preserve"> services</w:t>
      </w:r>
    </w:p>
    <w:p w:rsidR="001E0359" w:rsidRPr="001E0359" w:rsidRDefault="001E0359" w:rsidP="001E035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0359">
        <w:rPr>
          <w:rFonts w:ascii="Arial" w:hAnsi="Arial" w:cs="Arial"/>
          <w:lang w:val="en-US"/>
        </w:rPr>
        <w:t> </w:t>
      </w:r>
    </w:p>
    <w:p w:rsidR="001E0359" w:rsidRPr="001E0359" w:rsidRDefault="001E0359" w:rsidP="001E035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0359">
        <w:rPr>
          <w:rFonts w:ascii="Arial" w:hAnsi="Arial" w:cs="Arial"/>
          <w:lang w:val="en-US"/>
        </w:rPr>
        <w:t> </w:t>
      </w:r>
    </w:p>
    <w:p w:rsidR="001E0359" w:rsidRPr="001E0359" w:rsidRDefault="001E0359" w:rsidP="001E035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0359">
        <w:rPr>
          <w:rFonts w:ascii="Arial" w:hAnsi="Arial" w:cs="Arial"/>
          <w:color w:val="18376A"/>
          <w:lang w:val="en-US"/>
        </w:rPr>
        <w:t xml:space="preserve">NHS England has published a number of new clinical commissioning policies and service specifications, some of which replace existing </w:t>
      </w:r>
      <w:proofErr w:type="gramStart"/>
      <w:r w:rsidRPr="001E0359">
        <w:rPr>
          <w:rFonts w:ascii="Arial" w:hAnsi="Arial" w:cs="Arial"/>
          <w:color w:val="18376A"/>
          <w:lang w:val="en-US"/>
        </w:rPr>
        <w:t>documents which</w:t>
      </w:r>
      <w:proofErr w:type="gramEnd"/>
      <w:r w:rsidRPr="001E0359">
        <w:rPr>
          <w:rFonts w:ascii="Arial" w:hAnsi="Arial" w:cs="Arial"/>
          <w:color w:val="18376A"/>
          <w:lang w:val="en-US"/>
        </w:rPr>
        <w:t xml:space="preserve"> have been amended following consultation. The policies and specifications can be found on the relevant Clinical Reference Group (CRG) </w:t>
      </w:r>
      <w:proofErr w:type="gramStart"/>
      <w:r w:rsidRPr="001E0359">
        <w:rPr>
          <w:rFonts w:ascii="Arial" w:hAnsi="Arial" w:cs="Arial"/>
          <w:color w:val="18376A"/>
          <w:lang w:val="en-US"/>
        </w:rPr>
        <w:t>pages which</w:t>
      </w:r>
      <w:proofErr w:type="gramEnd"/>
      <w:r w:rsidRPr="001E0359">
        <w:rPr>
          <w:rFonts w:ascii="Arial" w:hAnsi="Arial" w:cs="Arial"/>
          <w:color w:val="18376A"/>
          <w:lang w:val="en-US"/>
        </w:rPr>
        <w:t xml:space="preserve"> can be accessed at: </w:t>
      </w:r>
      <w:hyperlink r:id="rId5" w:history="1">
        <w:r w:rsidRPr="001E0359">
          <w:rPr>
            <w:rFonts w:ascii="Arial" w:hAnsi="Arial" w:cs="Arial"/>
            <w:color w:val="386EFF"/>
            <w:u w:val="single" w:color="386EFF"/>
            <w:lang w:val="en-US"/>
          </w:rPr>
          <w:t>https://www.england.nhs.uk/commissioning/spec-services/npc-crg/</w:t>
        </w:r>
      </w:hyperlink>
      <w:r w:rsidRPr="001E0359">
        <w:rPr>
          <w:rFonts w:ascii="Arial" w:hAnsi="Arial" w:cs="Arial"/>
          <w:color w:val="18376A"/>
          <w:lang w:val="en-US"/>
        </w:rPr>
        <w:t xml:space="preserve"> They are:</w:t>
      </w:r>
    </w:p>
    <w:p w:rsidR="001E0359" w:rsidRPr="001E0359" w:rsidRDefault="001E0359" w:rsidP="001E035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0359">
        <w:rPr>
          <w:rFonts w:ascii="Arial" w:hAnsi="Arial" w:cs="Arial"/>
          <w:color w:val="18376A"/>
          <w:lang w:val="en-US"/>
        </w:rPr>
        <w:t> </w:t>
      </w:r>
    </w:p>
    <w:p w:rsidR="001E0359" w:rsidRPr="001E0359" w:rsidRDefault="001E0359" w:rsidP="001E035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0359">
        <w:rPr>
          <w:rFonts w:ascii="Symbol" w:hAnsi="Symbol" w:cs="Symbol" w:hint="eastAsia"/>
          <w:lang w:val="en-US"/>
        </w:rPr>
        <w:t>·</w:t>
      </w:r>
      <w:r w:rsidRPr="001E0359">
        <w:rPr>
          <w:rFonts w:ascii="Times New Roman" w:hAnsi="Times New Roman" w:cs="Times New Roman"/>
          <w:lang w:val="en-US"/>
        </w:rPr>
        <w:t xml:space="preserve">         </w:t>
      </w:r>
      <w:r w:rsidRPr="001E0359">
        <w:rPr>
          <w:rFonts w:ascii="Arial" w:hAnsi="Arial" w:cs="Arial"/>
          <w:lang w:val="en-US"/>
        </w:rPr>
        <w:t xml:space="preserve">Clinical Commissioning Interim Policy Statement </w:t>
      </w:r>
      <w:proofErr w:type="spellStart"/>
      <w:r w:rsidRPr="001E0359">
        <w:rPr>
          <w:rFonts w:ascii="Arial" w:hAnsi="Arial" w:cs="Arial"/>
          <w:lang w:val="en-US"/>
        </w:rPr>
        <w:t>Simeprevir</w:t>
      </w:r>
      <w:proofErr w:type="spellEnd"/>
      <w:r w:rsidRPr="001E0359">
        <w:rPr>
          <w:rFonts w:ascii="Arial" w:hAnsi="Arial" w:cs="Arial"/>
          <w:lang w:val="en-US"/>
        </w:rPr>
        <w:t xml:space="preserve"> for Treating Hepatitis C Genotype 1 Virus</w:t>
      </w:r>
    </w:p>
    <w:p w:rsidR="001E0359" w:rsidRPr="001E0359" w:rsidRDefault="001E0359" w:rsidP="001E035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0359">
        <w:rPr>
          <w:rFonts w:ascii="Symbol" w:hAnsi="Symbol" w:cs="Symbol" w:hint="eastAsia"/>
          <w:lang w:val="en-US"/>
        </w:rPr>
        <w:t>·</w:t>
      </w:r>
      <w:r w:rsidRPr="001E0359">
        <w:rPr>
          <w:rFonts w:ascii="Times New Roman" w:hAnsi="Times New Roman" w:cs="Times New Roman"/>
          <w:lang w:val="en-US"/>
        </w:rPr>
        <w:t xml:space="preserve">         </w:t>
      </w:r>
      <w:r w:rsidRPr="001E0359">
        <w:rPr>
          <w:rFonts w:ascii="Arial" w:hAnsi="Arial" w:cs="Arial"/>
          <w:lang w:val="en-US"/>
        </w:rPr>
        <w:t>Clinical Commissioning Policy Statement Radiotherapy after surgery for Breast Cancer</w:t>
      </w:r>
    </w:p>
    <w:p w:rsidR="001E0359" w:rsidRPr="001E0359" w:rsidRDefault="001E0359" w:rsidP="001E035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0359">
        <w:rPr>
          <w:rFonts w:ascii="Symbol" w:hAnsi="Symbol" w:cs="Symbol" w:hint="eastAsia"/>
          <w:lang w:val="en-US"/>
        </w:rPr>
        <w:t>·</w:t>
      </w:r>
      <w:r w:rsidRPr="001E0359">
        <w:rPr>
          <w:rFonts w:ascii="Times New Roman" w:hAnsi="Times New Roman" w:cs="Times New Roman"/>
          <w:lang w:val="en-US"/>
        </w:rPr>
        <w:t xml:space="preserve">         </w:t>
      </w:r>
      <w:r w:rsidRPr="001E0359">
        <w:rPr>
          <w:rFonts w:ascii="Arial" w:hAnsi="Arial" w:cs="Arial"/>
          <w:lang w:val="en-US"/>
        </w:rPr>
        <w:t>Clinical Commissioning Policy Statement Palliative Bone Radiotherapy</w:t>
      </w:r>
    </w:p>
    <w:p w:rsidR="001E0359" w:rsidRPr="001E0359" w:rsidRDefault="001E0359" w:rsidP="001E035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0359">
        <w:rPr>
          <w:rFonts w:ascii="Symbol" w:hAnsi="Symbol" w:cs="Symbol" w:hint="eastAsia"/>
          <w:lang w:val="en-US"/>
        </w:rPr>
        <w:t>·</w:t>
      </w:r>
      <w:r w:rsidRPr="001E0359">
        <w:rPr>
          <w:rFonts w:ascii="Times New Roman" w:hAnsi="Times New Roman" w:cs="Times New Roman"/>
          <w:lang w:val="en-US"/>
        </w:rPr>
        <w:t xml:space="preserve">         </w:t>
      </w:r>
      <w:r w:rsidRPr="001E0359">
        <w:rPr>
          <w:rFonts w:ascii="Arial" w:hAnsi="Arial" w:cs="Arial"/>
          <w:lang w:val="en-US"/>
        </w:rPr>
        <w:t>Clinical Commissioning Policy Statement Intra Operative Radiotherapy in the Early Treatment of Selected Patients with Early Breast Cancer</w:t>
      </w:r>
    </w:p>
    <w:p w:rsidR="001E0359" w:rsidRPr="001E0359" w:rsidRDefault="001E0359" w:rsidP="001E035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0359">
        <w:rPr>
          <w:rFonts w:ascii="Symbol" w:hAnsi="Symbol" w:cs="Symbol" w:hint="eastAsia"/>
          <w:lang w:val="en-US"/>
        </w:rPr>
        <w:t>·</w:t>
      </w:r>
      <w:r w:rsidRPr="001E0359">
        <w:rPr>
          <w:rFonts w:ascii="Times New Roman" w:hAnsi="Times New Roman" w:cs="Times New Roman"/>
          <w:lang w:val="en-US"/>
        </w:rPr>
        <w:t xml:space="preserve">         </w:t>
      </w:r>
      <w:r w:rsidRPr="001E0359">
        <w:rPr>
          <w:rFonts w:ascii="Arial" w:hAnsi="Arial" w:cs="Arial"/>
          <w:lang w:val="en-US"/>
        </w:rPr>
        <w:t xml:space="preserve">Clinical Commissioning Policy </w:t>
      </w:r>
      <w:proofErr w:type="spellStart"/>
      <w:r w:rsidRPr="001E0359">
        <w:rPr>
          <w:rFonts w:ascii="Arial" w:hAnsi="Arial" w:cs="Arial"/>
          <w:lang w:val="en-US"/>
        </w:rPr>
        <w:t>Dolutegravir</w:t>
      </w:r>
      <w:proofErr w:type="spellEnd"/>
      <w:r w:rsidRPr="001E0359">
        <w:rPr>
          <w:rFonts w:ascii="Arial" w:hAnsi="Arial" w:cs="Arial"/>
          <w:lang w:val="en-US"/>
        </w:rPr>
        <w:t xml:space="preserve"> for treatment of HIV-1 in adults and adolescents</w:t>
      </w:r>
    </w:p>
    <w:p w:rsidR="001E0359" w:rsidRPr="001E0359" w:rsidRDefault="001E0359" w:rsidP="001E035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0359">
        <w:rPr>
          <w:rFonts w:ascii="Symbol" w:hAnsi="Symbol" w:cs="Symbol" w:hint="eastAsia"/>
          <w:lang w:val="en-US"/>
        </w:rPr>
        <w:t>·</w:t>
      </w:r>
      <w:r w:rsidRPr="001E0359">
        <w:rPr>
          <w:rFonts w:ascii="Times New Roman" w:hAnsi="Times New Roman" w:cs="Times New Roman"/>
          <w:lang w:val="en-US"/>
        </w:rPr>
        <w:t xml:space="preserve">         </w:t>
      </w:r>
      <w:r w:rsidRPr="001E0359">
        <w:rPr>
          <w:rFonts w:ascii="Arial" w:hAnsi="Arial" w:cs="Arial"/>
          <w:lang w:val="en-US"/>
        </w:rPr>
        <w:t xml:space="preserve">Clinical Commissioning Policy </w:t>
      </w:r>
      <w:proofErr w:type="spellStart"/>
      <w:r w:rsidRPr="001E0359">
        <w:rPr>
          <w:rFonts w:ascii="Arial" w:hAnsi="Arial" w:cs="Arial"/>
          <w:lang w:val="en-US"/>
        </w:rPr>
        <w:t>Glucarpidase</w:t>
      </w:r>
      <w:proofErr w:type="spellEnd"/>
      <w:r w:rsidRPr="001E0359">
        <w:rPr>
          <w:rFonts w:ascii="Arial" w:hAnsi="Arial" w:cs="Arial"/>
          <w:lang w:val="en-US"/>
        </w:rPr>
        <w:t xml:space="preserve"> for the urgent treatment of methotrexate-induced renal dysfunction</w:t>
      </w:r>
    </w:p>
    <w:p w:rsidR="001E0359" w:rsidRPr="001E0359" w:rsidRDefault="001E0359" w:rsidP="001E035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0359">
        <w:rPr>
          <w:rFonts w:ascii="Symbol" w:hAnsi="Symbol" w:cs="Symbol" w:hint="eastAsia"/>
          <w:lang w:val="en-US"/>
        </w:rPr>
        <w:t>·</w:t>
      </w:r>
      <w:r w:rsidRPr="001E0359">
        <w:rPr>
          <w:rFonts w:ascii="Times New Roman" w:hAnsi="Times New Roman" w:cs="Times New Roman"/>
          <w:lang w:val="en-US"/>
        </w:rPr>
        <w:t xml:space="preserve">         </w:t>
      </w:r>
      <w:r w:rsidRPr="001E0359">
        <w:rPr>
          <w:rFonts w:ascii="Arial" w:hAnsi="Arial" w:cs="Arial"/>
          <w:lang w:val="en-US"/>
        </w:rPr>
        <w:t xml:space="preserve">Clinical Commissioning Policy Use of </w:t>
      </w:r>
      <w:proofErr w:type="spellStart"/>
      <w:r w:rsidRPr="001E0359">
        <w:rPr>
          <w:rFonts w:ascii="Arial" w:hAnsi="Arial" w:cs="Arial"/>
          <w:lang w:val="en-US"/>
        </w:rPr>
        <w:t>Defibrotide</w:t>
      </w:r>
      <w:proofErr w:type="spellEnd"/>
      <w:r w:rsidRPr="001E0359">
        <w:rPr>
          <w:rFonts w:ascii="Arial" w:hAnsi="Arial" w:cs="Arial"/>
          <w:lang w:val="en-US"/>
        </w:rPr>
        <w:t xml:space="preserve"> Use of </w:t>
      </w:r>
      <w:proofErr w:type="spellStart"/>
      <w:r w:rsidRPr="001E0359">
        <w:rPr>
          <w:rFonts w:ascii="Arial" w:hAnsi="Arial" w:cs="Arial"/>
          <w:lang w:val="en-US"/>
        </w:rPr>
        <w:t>Defibrotide</w:t>
      </w:r>
      <w:proofErr w:type="spellEnd"/>
      <w:r w:rsidRPr="001E0359">
        <w:rPr>
          <w:rFonts w:ascii="Arial" w:hAnsi="Arial" w:cs="Arial"/>
          <w:lang w:val="en-US"/>
        </w:rPr>
        <w:t xml:space="preserve"> in severe </w:t>
      </w:r>
      <w:proofErr w:type="spellStart"/>
      <w:r w:rsidRPr="001E0359">
        <w:rPr>
          <w:rFonts w:ascii="Arial" w:hAnsi="Arial" w:cs="Arial"/>
          <w:lang w:val="en-US"/>
        </w:rPr>
        <w:t>veno</w:t>
      </w:r>
      <w:proofErr w:type="spellEnd"/>
      <w:r w:rsidRPr="001E0359">
        <w:rPr>
          <w:rFonts w:ascii="Arial" w:hAnsi="Arial" w:cs="Arial"/>
          <w:lang w:val="en-US"/>
        </w:rPr>
        <w:t>-occlusive disease</w:t>
      </w:r>
    </w:p>
    <w:p w:rsidR="001E0359" w:rsidRPr="001E0359" w:rsidRDefault="001E0359" w:rsidP="001E035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0359">
        <w:rPr>
          <w:rFonts w:ascii="Symbol" w:hAnsi="Symbol" w:cs="Symbol" w:hint="eastAsia"/>
          <w:lang w:val="en-US"/>
        </w:rPr>
        <w:t>·</w:t>
      </w:r>
      <w:r w:rsidRPr="001E0359">
        <w:rPr>
          <w:rFonts w:ascii="Times New Roman" w:hAnsi="Times New Roman" w:cs="Times New Roman"/>
          <w:lang w:val="en-US"/>
        </w:rPr>
        <w:t xml:space="preserve">         </w:t>
      </w:r>
      <w:r w:rsidRPr="001E0359">
        <w:rPr>
          <w:rFonts w:ascii="Arial" w:hAnsi="Arial" w:cs="Arial"/>
          <w:lang w:val="en-US"/>
        </w:rPr>
        <w:t>Clinical Commissioning Policy Management of twin to twin syndrome</w:t>
      </w:r>
    </w:p>
    <w:p w:rsidR="001E0359" w:rsidRPr="001E0359" w:rsidRDefault="001E0359" w:rsidP="001E035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0359">
        <w:rPr>
          <w:rFonts w:ascii="Symbol" w:hAnsi="Symbol" w:cs="Symbol" w:hint="eastAsia"/>
          <w:lang w:val="en-US"/>
        </w:rPr>
        <w:t>·</w:t>
      </w:r>
      <w:r w:rsidRPr="001E0359">
        <w:rPr>
          <w:rFonts w:ascii="Times New Roman" w:hAnsi="Times New Roman" w:cs="Times New Roman"/>
          <w:lang w:val="en-US"/>
        </w:rPr>
        <w:t xml:space="preserve">         </w:t>
      </w:r>
      <w:r w:rsidRPr="001E0359">
        <w:rPr>
          <w:rFonts w:ascii="Arial" w:hAnsi="Arial" w:cs="Arial"/>
          <w:lang w:val="en-US"/>
        </w:rPr>
        <w:t>Clinical Commissioning Policy Statement Surgical treatment for women who have had cultural female genital mutilation</w:t>
      </w:r>
    </w:p>
    <w:p w:rsidR="00856885" w:rsidRPr="001E0359" w:rsidRDefault="001E0359" w:rsidP="001E0359">
      <w:r w:rsidRPr="001E0359">
        <w:rPr>
          <w:rFonts w:ascii="Symbol" w:hAnsi="Symbol" w:cs="Symbol" w:hint="eastAsia"/>
          <w:color w:val="18376A"/>
          <w:lang w:val="en-US"/>
        </w:rPr>
        <w:t>·</w:t>
      </w:r>
      <w:r w:rsidRPr="001E0359">
        <w:rPr>
          <w:rFonts w:ascii="Times New Roman" w:hAnsi="Times New Roman" w:cs="Times New Roman"/>
          <w:color w:val="18376A"/>
          <w:lang w:val="en-US"/>
        </w:rPr>
        <w:t xml:space="preserve">         </w:t>
      </w:r>
      <w:r w:rsidRPr="001E0359">
        <w:rPr>
          <w:rFonts w:ascii="Arial" w:hAnsi="Arial" w:cs="Arial"/>
          <w:lang w:val="en-US"/>
        </w:rPr>
        <w:t>Service Specification Gestational Trophoblastic Disease</w:t>
      </w:r>
    </w:p>
    <w:p w:rsidR="001E0359" w:rsidRDefault="001E0359"/>
    <w:sectPr w:rsidR="001E0359" w:rsidSect="00967D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59"/>
    <w:rsid w:val="001E0359"/>
    <w:rsid w:val="00856885"/>
    <w:rsid w:val="009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6A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ngland.nhs.uk/commissioning/spec-services/npc-c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Macintosh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cp:lastPrinted>2015-01-15T21:23:00Z</cp:lastPrinted>
  <dcterms:created xsi:type="dcterms:W3CDTF">2015-01-15T21:23:00Z</dcterms:created>
  <dcterms:modified xsi:type="dcterms:W3CDTF">2015-01-15T21:26:00Z</dcterms:modified>
</cp:coreProperties>
</file>