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BB66" w14:textId="413E7CB3" w:rsidR="002C3BFE" w:rsidRPr="00D61DE3" w:rsidRDefault="00D61DE3" w:rsidP="00D61DE3">
      <w:pPr>
        <w:pBdr>
          <w:top w:val="single" w:sz="4" w:space="1" w:color="auto"/>
          <w:bottom w:val="single" w:sz="4" w:space="1" w:color="auto"/>
        </w:pBdr>
        <w:jc w:val="center"/>
        <w:rPr>
          <w:rFonts w:ascii="Segoe UI Historic" w:hAnsi="Segoe UI Historic" w:cs="Segoe UI Historic"/>
          <w:sz w:val="36"/>
          <w:szCs w:val="36"/>
        </w:rPr>
      </w:pPr>
      <w:r w:rsidRPr="00D61DE3">
        <w:rPr>
          <w:rFonts w:ascii="Segoe UI Historic" w:hAnsi="Segoe UI Historic" w:cs="Segoe UI Historic"/>
          <w:sz w:val="36"/>
          <w:szCs w:val="36"/>
        </w:rPr>
        <w:t>THE ‘BREXIT TREATY’</w:t>
      </w:r>
    </w:p>
    <w:p w14:paraId="1542B75F" w14:textId="3B8170E8" w:rsidR="00D61DE3" w:rsidRPr="00D61DE3" w:rsidRDefault="00D61DE3" w:rsidP="00D61DE3">
      <w:pPr>
        <w:jc w:val="both"/>
        <w:rPr>
          <w:rFonts w:ascii="Segoe UI Historic" w:hAnsi="Segoe UI Historic" w:cs="Segoe UI Historic"/>
        </w:rPr>
      </w:pPr>
    </w:p>
    <w:p w14:paraId="6FD5535D" w14:textId="65EC03E1" w:rsidR="00D61DE3" w:rsidRPr="00D61DE3" w:rsidRDefault="00D61DE3" w:rsidP="00D61DE3">
      <w:pPr>
        <w:jc w:val="both"/>
        <w:rPr>
          <w:rFonts w:ascii="Segoe UI Historic" w:hAnsi="Segoe UI Historic" w:cs="Segoe UI Historic"/>
        </w:rPr>
      </w:pPr>
    </w:p>
    <w:p w14:paraId="61BDCD19"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At 11pm on 31 December, the agreement provides for the UK to take back control of our </w:t>
      </w:r>
      <w:r w:rsidRPr="00D61DE3">
        <w:rPr>
          <w:rFonts w:ascii="Segoe UI Historic" w:hAnsi="Segoe UI Historic" w:cs="Segoe UI Historic"/>
          <w:b/>
          <w:bCs/>
          <w:sz w:val="24"/>
          <w:szCs w:val="24"/>
        </w:rPr>
        <w:t>laws</w:t>
      </w:r>
      <w:r w:rsidRPr="00D61DE3">
        <w:rPr>
          <w:rFonts w:ascii="Segoe UI Historic" w:hAnsi="Segoe UI Historic" w:cs="Segoe UI Historic"/>
          <w:sz w:val="24"/>
          <w:szCs w:val="24"/>
        </w:rPr>
        <w:t>, affording no role for EU law and no jurisdiction for the European Court of Justice. The only laws we will have to obey are the ones made by the Parliament we elect.</w:t>
      </w:r>
    </w:p>
    <w:p w14:paraId="49723271"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The treaty includes a </w:t>
      </w:r>
      <w:r w:rsidRPr="00D61DE3">
        <w:rPr>
          <w:rFonts w:ascii="Segoe UI Historic" w:hAnsi="Segoe UI Historic" w:cs="Segoe UI Historic"/>
          <w:b/>
          <w:bCs/>
          <w:sz w:val="24"/>
          <w:szCs w:val="24"/>
        </w:rPr>
        <w:t>social security agreement</w:t>
      </w:r>
      <w:r w:rsidRPr="00D61DE3">
        <w:rPr>
          <w:rFonts w:ascii="Segoe UI Historic" w:hAnsi="Segoe UI Historic" w:cs="Segoe UI Historic"/>
          <w:sz w:val="24"/>
          <w:szCs w:val="24"/>
        </w:rPr>
        <w:t xml:space="preserve"> that has practical benefits for UK citizens</w:t>
      </w:r>
    </w:p>
    <w:p w14:paraId="3D05E447" w14:textId="67C76924"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In line with common FTA practice, the </w:t>
      </w:r>
      <w:r>
        <w:rPr>
          <w:rFonts w:ascii="Segoe UI Historic" w:hAnsi="Segoe UI Historic" w:cs="Segoe UI Historic"/>
          <w:sz w:val="24"/>
          <w:szCs w:val="24"/>
        </w:rPr>
        <w:t>T</w:t>
      </w:r>
      <w:r w:rsidRPr="00D61DE3">
        <w:rPr>
          <w:rFonts w:ascii="Segoe UI Historic" w:hAnsi="Segoe UI Historic" w:cs="Segoe UI Historic"/>
          <w:sz w:val="24"/>
          <w:szCs w:val="24"/>
        </w:rPr>
        <w:t xml:space="preserve">reaty also includes </w:t>
      </w:r>
      <w:proofErr w:type="gramStart"/>
      <w:r w:rsidRPr="00D61DE3">
        <w:rPr>
          <w:rFonts w:ascii="Segoe UI Historic" w:hAnsi="Segoe UI Historic" w:cs="Segoe UI Historic"/>
          <w:sz w:val="24"/>
          <w:szCs w:val="24"/>
        </w:rPr>
        <w:t>a number of</w:t>
      </w:r>
      <w:proofErr w:type="gramEnd"/>
      <w:r w:rsidRPr="00D61DE3">
        <w:rPr>
          <w:rFonts w:ascii="Segoe UI Historic" w:hAnsi="Segoe UI Historic" w:cs="Segoe UI Historic"/>
          <w:sz w:val="24"/>
          <w:szCs w:val="24"/>
        </w:rPr>
        <w:t xml:space="preserve"> sector-specific Annexes which seek to promote cooperation and tackle barriers to trade in the automotive, chemical, </w:t>
      </w:r>
      <w:r w:rsidRPr="00D61DE3">
        <w:rPr>
          <w:rFonts w:ascii="Segoe UI Historic" w:hAnsi="Segoe UI Historic" w:cs="Segoe UI Historic"/>
          <w:b/>
          <w:bCs/>
          <w:sz w:val="24"/>
          <w:szCs w:val="24"/>
        </w:rPr>
        <w:t>pharmaceutical</w:t>
      </w:r>
      <w:r w:rsidRPr="00D61DE3">
        <w:rPr>
          <w:rFonts w:ascii="Segoe UI Historic" w:hAnsi="Segoe UI Historic" w:cs="Segoe UI Historic"/>
          <w:sz w:val="24"/>
          <w:szCs w:val="24"/>
        </w:rPr>
        <w:t>, organic products and wine sectors.</w:t>
      </w:r>
    </w:p>
    <w:p w14:paraId="26135FB8" w14:textId="33B3022B"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b/>
          <w:bCs/>
          <w:sz w:val="24"/>
          <w:szCs w:val="24"/>
        </w:rPr>
        <w:t>Annex on medicinal products</w:t>
      </w:r>
      <w:r w:rsidRPr="00D61DE3">
        <w:rPr>
          <w:rFonts w:ascii="Segoe UI Historic" w:hAnsi="Segoe UI Historic" w:cs="Segoe UI Historic"/>
          <w:sz w:val="24"/>
          <w:szCs w:val="24"/>
        </w:rPr>
        <w:t xml:space="preserve">. This Annex aims to facilitate availability of medicines, promote public </w:t>
      </w:r>
      <w:proofErr w:type="gramStart"/>
      <w:r w:rsidRPr="00D61DE3">
        <w:rPr>
          <w:rFonts w:ascii="Segoe UI Historic" w:hAnsi="Segoe UI Historic" w:cs="Segoe UI Historic"/>
          <w:sz w:val="24"/>
          <w:szCs w:val="24"/>
        </w:rPr>
        <w:t>health</w:t>
      </w:r>
      <w:proofErr w:type="gramEnd"/>
      <w:r w:rsidRPr="00D61DE3">
        <w:rPr>
          <w:rFonts w:ascii="Segoe UI Historic" w:hAnsi="Segoe UI Historic" w:cs="Segoe UI Historic"/>
          <w:sz w:val="24"/>
          <w:szCs w:val="24"/>
        </w:rPr>
        <w:t xml:space="preserve"> and protect high levels of consumer and environmental protection in respect of medicinal products. It provides for mutual recognition of Good Manufacturing Practice (GMP) inspections and certificates, meaning that manufacturing facilities do not need to undergo separate UK and EU inspections, as well as ongoing co-operation.</w:t>
      </w:r>
    </w:p>
    <w:p w14:paraId="504BED36" w14:textId="75670C20"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We have agreed measures that are bespoke to the UK-EU trading relationship, such as cooperation at ‘roll-on roll-off’ ports like Dover and Holyhead. The Agreement ensures continued market access rights for UK and EU </w:t>
      </w:r>
      <w:r w:rsidRPr="00D61DE3">
        <w:rPr>
          <w:rFonts w:ascii="Segoe UI Historic" w:hAnsi="Segoe UI Historic" w:cs="Segoe UI Historic"/>
          <w:b/>
          <w:bCs/>
          <w:sz w:val="24"/>
          <w:szCs w:val="24"/>
        </w:rPr>
        <w:t>road haulage</w:t>
      </w:r>
      <w:r w:rsidRPr="00D61DE3">
        <w:rPr>
          <w:rFonts w:ascii="Segoe UI Historic" w:hAnsi="Segoe UI Historic" w:cs="Segoe UI Historic"/>
          <w:sz w:val="24"/>
          <w:szCs w:val="24"/>
        </w:rPr>
        <w:t xml:space="preserve"> operators. Operators will continue to be able to move goods to, from and through each other’s territories with no permit requirements, and make additional movements within each other’s territories, with limits on the number of permitted movements</w:t>
      </w:r>
    </w:p>
    <w:p w14:paraId="0BD80284" w14:textId="77777777" w:rsidR="00D61DE3" w:rsidRPr="00D61DE3" w:rsidRDefault="00D61DE3" w:rsidP="00D61DE3">
      <w:pPr>
        <w:spacing w:line="254" w:lineRule="auto"/>
        <w:jc w:val="both"/>
        <w:rPr>
          <w:rFonts w:ascii="Segoe UI Historic" w:hAnsi="Segoe UI Historic" w:cs="Segoe UI Historic"/>
          <w:b/>
          <w:bCs/>
          <w:sz w:val="24"/>
          <w:szCs w:val="24"/>
        </w:rPr>
      </w:pPr>
      <w:r w:rsidRPr="00D61DE3">
        <w:rPr>
          <w:rFonts w:ascii="Segoe UI Historic" w:hAnsi="Segoe UI Historic" w:cs="Segoe UI Historic"/>
          <w:sz w:val="24"/>
          <w:szCs w:val="24"/>
        </w:rPr>
        <w:t xml:space="preserve">The provisions in the Protocol on Social Security Coordination will ensure that individuals who move between the UK and the EU in the future will have their social security position in respect of certain important benefits protected. Individuals will be able to have access to a range of social security benefits, including </w:t>
      </w:r>
      <w:r w:rsidRPr="00D61DE3">
        <w:rPr>
          <w:rFonts w:ascii="Segoe UI Historic" w:hAnsi="Segoe UI Historic" w:cs="Segoe UI Historic"/>
          <w:b/>
          <w:bCs/>
          <w:sz w:val="24"/>
          <w:szCs w:val="24"/>
        </w:rPr>
        <w:t>reciprocal healthcare cover</w:t>
      </w:r>
      <w:r w:rsidRPr="00D61DE3">
        <w:rPr>
          <w:rFonts w:ascii="Segoe UI Historic" w:hAnsi="Segoe UI Historic" w:cs="Segoe UI Historic"/>
          <w:sz w:val="24"/>
          <w:szCs w:val="24"/>
        </w:rPr>
        <w:t xml:space="preserve"> and an </w:t>
      </w:r>
      <w:r w:rsidRPr="00D61DE3">
        <w:rPr>
          <w:rFonts w:ascii="Segoe UI Historic" w:hAnsi="Segoe UI Historic" w:cs="Segoe UI Historic"/>
          <w:b/>
          <w:bCs/>
          <w:sz w:val="24"/>
          <w:szCs w:val="24"/>
        </w:rPr>
        <w:t>uprated state pension.</w:t>
      </w:r>
    </w:p>
    <w:p w14:paraId="78E549E2" w14:textId="77777777" w:rsidR="00D61DE3" w:rsidRPr="00D61DE3" w:rsidRDefault="00D61DE3" w:rsidP="00D61DE3">
      <w:pPr>
        <w:spacing w:line="254" w:lineRule="auto"/>
        <w:jc w:val="both"/>
        <w:rPr>
          <w:rFonts w:ascii="Segoe UI Historic" w:hAnsi="Segoe UI Historic" w:cs="Segoe UI Historic"/>
          <w:b/>
          <w:bCs/>
          <w:sz w:val="24"/>
          <w:szCs w:val="24"/>
        </w:rPr>
      </w:pPr>
      <w:r w:rsidRPr="00D61DE3">
        <w:rPr>
          <w:rFonts w:ascii="Segoe UI Historic" w:hAnsi="Segoe UI Historic" w:cs="Segoe UI Historic"/>
          <w:sz w:val="24"/>
          <w:szCs w:val="24"/>
        </w:rPr>
        <w:t xml:space="preserve">On healthcare, where the UK or an EU Member State is responsible for the healthcare of an individual, they will be entitled to reciprocal healthcare cover. This includes certain categories of cross-border workers and </w:t>
      </w:r>
      <w:r w:rsidRPr="00D61DE3">
        <w:rPr>
          <w:rFonts w:ascii="Segoe UI Historic" w:hAnsi="Segoe UI Historic" w:cs="Segoe UI Historic"/>
          <w:b/>
          <w:bCs/>
          <w:sz w:val="24"/>
          <w:szCs w:val="24"/>
        </w:rPr>
        <w:t>state pensioners who retire to the UK or to the EU.</w:t>
      </w:r>
    </w:p>
    <w:p w14:paraId="0F504B55"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 In addition, the Protocol will ensure necessary healthcare provisions – akin to those provided by the European Health Insurance Card (EHIC) scheme – continue. This means individuals who are </w:t>
      </w:r>
      <w:r w:rsidRPr="00D61DE3">
        <w:rPr>
          <w:rFonts w:ascii="Segoe UI Historic" w:hAnsi="Segoe UI Historic" w:cs="Segoe UI Historic"/>
          <w:b/>
          <w:bCs/>
          <w:sz w:val="24"/>
          <w:szCs w:val="24"/>
        </w:rPr>
        <w:t>temporarily staying</w:t>
      </w:r>
      <w:r w:rsidRPr="00D61DE3">
        <w:rPr>
          <w:rFonts w:ascii="Segoe UI Historic" w:hAnsi="Segoe UI Historic" w:cs="Segoe UI Historic"/>
          <w:sz w:val="24"/>
          <w:szCs w:val="24"/>
        </w:rPr>
        <w:t xml:space="preserve"> in another country, for example a UK national </w:t>
      </w:r>
      <w:r w:rsidRPr="00D61DE3">
        <w:rPr>
          <w:rFonts w:ascii="Segoe UI Historic" w:hAnsi="Segoe UI Historic" w:cs="Segoe UI Historic"/>
          <w:sz w:val="24"/>
          <w:szCs w:val="24"/>
        </w:rPr>
        <w:lastRenderedPageBreak/>
        <w:t>who is in an EU Member State for a holiday, will have their necessary healthcare needs met for the period of their stay.</w:t>
      </w:r>
    </w:p>
    <w:p w14:paraId="1666A278"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The Protocol also protects the ability of individuals to seek authorisation to receive planned medical treatment in the UK or the EU, funded by their responsible State.</w:t>
      </w:r>
    </w:p>
    <w:p w14:paraId="7A739DF9"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The agreement provides for future cooperation between the UK and EU on emerging challenges, including health</w:t>
      </w:r>
    </w:p>
    <w:p w14:paraId="40804521"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The Agreement supports effective arrangements and information sharing between the UK and the EU in the event of a serious cross border threat to health, which is particularly important in the context of Covid-19. The agreement enables the UK to request access to the EU’s Early Warning and Response System in respect of a serious </w:t>
      </w:r>
      <w:r w:rsidRPr="00D61DE3">
        <w:rPr>
          <w:rFonts w:ascii="Segoe UI Historic" w:hAnsi="Segoe UI Historic" w:cs="Segoe UI Historic"/>
          <w:b/>
          <w:bCs/>
          <w:sz w:val="24"/>
          <w:szCs w:val="24"/>
        </w:rPr>
        <w:t>cross-border health</w:t>
      </w:r>
      <w:r w:rsidRPr="00D61DE3">
        <w:rPr>
          <w:rFonts w:ascii="Segoe UI Historic" w:hAnsi="Segoe UI Historic" w:cs="Segoe UI Historic"/>
          <w:sz w:val="24"/>
          <w:szCs w:val="24"/>
        </w:rPr>
        <w:t xml:space="preserve"> threat so that the UK, the EU </w:t>
      </w:r>
      <w:proofErr w:type="gramStart"/>
      <w:r w:rsidRPr="00D61DE3">
        <w:rPr>
          <w:rFonts w:ascii="Segoe UI Historic" w:hAnsi="Segoe UI Historic" w:cs="Segoe UI Historic"/>
          <w:sz w:val="24"/>
          <w:szCs w:val="24"/>
        </w:rPr>
        <w:t>institutions</w:t>
      </w:r>
      <w:proofErr w:type="gramEnd"/>
      <w:r w:rsidRPr="00D61DE3">
        <w:rPr>
          <w:rFonts w:ascii="Segoe UI Historic" w:hAnsi="Segoe UI Historic" w:cs="Segoe UI Historic"/>
          <w:sz w:val="24"/>
          <w:szCs w:val="24"/>
        </w:rPr>
        <w:t xml:space="preserve"> and EU Member States can exchange information and coordinate measures to protect public health.</w:t>
      </w:r>
    </w:p>
    <w:p w14:paraId="13E8DD94"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 The Agreement provides that the EU may invite the UK to participate in the EU Health Security Committee to support the exchange of information and facilitate coordination in relation to specific serious cross-border threats to health. It also makes provision for cooperation on scientific and technical matters between the UK and the European Centre for Disease Prevention and Control (ECDC), including by concluding an MoU </w:t>
      </w:r>
      <w:proofErr w:type="gramStart"/>
      <w:r w:rsidRPr="00D61DE3">
        <w:rPr>
          <w:rFonts w:ascii="Segoe UI Historic" w:hAnsi="Segoe UI Historic" w:cs="Segoe UI Historic"/>
          <w:sz w:val="24"/>
          <w:szCs w:val="24"/>
        </w:rPr>
        <w:t>similar to</w:t>
      </w:r>
      <w:proofErr w:type="gramEnd"/>
      <w:r w:rsidRPr="00D61DE3">
        <w:rPr>
          <w:rFonts w:ascii="Segoe UI Historic" w:hAnsi="Segoe UI Historic" w:cs="Segoe UI Historic"/>
          <w:sz w:val="24"/>
          <w:szCs w:val="24"/>
        </w:rPr>
        <w:t xml:space="preserve"> those ECDC has with other third countries such as Canada.</w:t>
      </w:r>
    </w:p>
    <w:p w14:paraId="67894164" w14:textId="77777777" w:rsidR="00D61DE3" w:rsidRPr="00D61DE3" w:rsidRDefault="00D61DE3" w:rsidP="00D61DE3">
      <w:pPr>
        <w:spacing w:line="254" w:lineRule="auto"/>
        <w:jc w:val="both"/>
        <w:rPr>
          <w:rFonts w:ascii="Segoe UI Historic" w:hAnsi="Segoe UI Historic" w:cs="Segoe UI Historic"/>
          <w:sz w:val="24"/>
          <w:szCs w:val="24"/>
        </w:rPr>
      </w:pPr>
      <w:r w:rsidRPr="00D61DE3">
        <w:rPr>
          <w:rFonts w:ascii="Segoe UI Historic" w:hAnsi="Segoe UI Historic" w:cs="Segoe UI Historic"/>
          <w:sz w:val="24"/>
          <w:szCs w:val="24"/>
        </w:rPr>
        <w:t xml:space="preserve">The UK and the EU have agreed a framework for the </w:t>
      </w:r>
      <w:r w:rsidRPr="00D61DE3">
        <w:rPr>
          <w:rFonts w:ascii="Segoe UI Historic" w:hAnsi="Segoe UI Historic" w:cs="Segoe UI Historic"/>
          <w:b/>
          <w:bCs/>
          <w:sz w:val="24"/>
          <w:szCs w:val="24"/>
        </w:rPr>
        <w:t>recognition of qualifications</w:t>
      </w:r>
      <w:r w:rsidRPr="00D61DE3">
        <w:rPr>
          <w:rFonts w:ascii="Segoe UI Historic" w:hAnsi="Segoe UI Historic" w:cs="Segoe UI Historic"/>
          <w:sz w:val="24"/>
          <w:szCs w:val="24"/>
        </w:rPr>
        <w:t xml:space="preserve"> between the Parties which is based on the EU’s recent FTA agreements. It</w:t>
      </w:r>
    </w:p>
    <w:p w14:paraId="2A5DBA90" w14:textId="77777777" w:rsidR="00D61DE3" w:rsidRDefault="00D61DE3"/>
    <w:sectPr w:rsidR="00D61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E3"/>
    <w:rsid w:val="002C3BFE"/>
    <w:rsid w:val="00D6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7D64"/>
  <w15:chartTrackingRefBased/>
  <w15:docId w15:val="{D475B38D-CE92-40C8-8C3F-5C7CD7BD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7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2020-12-26T09:52:00Z</dcterms:created>
  <dcterms:modified xsi:type="dcterms:W3CDTF">2020-12-26T09:54:00Z</dcterms:modified>
</cp:coreProperties>
</file>